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0CEAA" w14:textId="77777777" w:rsidR="00F130E0" w:rsidRDefault="00A525A7">
      <w:pPr>
        <w:pStyle w:val="Standard"/>
        <w:jc w:val="both"/>
      </w:pPr>
      <w:r>
        <w:rPr>
          <w:rFonts w:ascii="Verdana" w:hAnsi="Verdana"/>
          <w:b/>
        </w:rPr>
        <w:t>Avviso di selezione comparativa per l’individuazione di n. 1 valutatore quale componente effettivo del Comitato di Valutazione delle domande di agevolazione presentate sul Bando A “Attrazione e sostegno della propensione agli investimenti nel territorio” di cui alla D.G.R. 26 giugno 2023, n. 27-7122.</w:t>
      </w:r>
    </w:p>
    <w:p w14:paraId="23B4FD04" w14:textId="09CA7A74" w:rsidR="00F130E0" w:rsidRDefault="00A525A7">
      <w:pPr>
        <w:pStyle w:val="Standard"/>
        <w:jc w:val="center"/>
      </w:pPr>
      <w:proofErr w:type="gramStart"/>
      <w:r>
        <w:rPr>
          <w:rFonts w:ascii="Verdana" w:hAnsi="Verdana"/>
          <w:b/>
          <w:sz w:val="20"/>
          <w:szCs w:val="20"/>
        </w:rPr>
        <w:t xml:space="preserve">Scadenza:  </w:t>
      </w:r>
      <w:r w:rsidR="008A1E55">
        <w:rPr>
          <w:rFonts w:ascii="Verdana" w:hAnsi="Verdana"/>
          <w:b/>
          <w:sz w:val="20"/>
          <w:szCs w:val="20"/>
        </w:rPr>
        <w:t>10</w:t>
      </w:r>
      <w:proofErr w:type="gramEnd"/>
      <w:r w:rsidR="008A1E55">
        <w:rPr>
          <w:rFonts w:ascii="Verdana" w:hAnsi="Verdana"/>
          <w:b/>
          <w:sz w:val="20"/>
          <w:szCs w:val="20"/>
        </w:rPr>
        <w:t xml:space="preserve">/01/2024 ore 13:00      </w:t>
      </w:r>
    </w:p>
    <w:p w14:paraId="715B5133" w14:textId="77777777" w:rsidR="00F130E0" w:rsidRDefault="00F130E0">
      <w:pPr>
        <w:pStyle w:val="Standard"/>
        <w:rPr>
          <w:rFonts w:ascii="Verdana" w:hAnsi="Verdana"/>
          <w:sz w:val="20"/>
          <w:szCs w:val="20"/>
        </w:rPr>
      </w:pPr>
    </w:p>
    <w:p w14:paraId="57470E0F" w14:textId="77777777" w:rsidR="00F130E0" w:rsidRDefault="00A525A7">
      <w:pPr>
        <w:pStyle w:val="Standard"/>
        <w:spacing w:after="200" w:line="276" w:lineRule="auto"/>
        <w:jc w:val="both"/>
      </w:pPr>
      <w:r>
        <w:rPr>
          <w:rFonts w:ascii="Verdana" w:hAnsi="Verdana" w:cs="Arial"/>
          <w:b/>
          <w:sz w:val="20"/>
          <w:szCs w:val="20"/>
        </w:rPr>
        <w:t>Premesso che:</w:t>
      </w:r>
    </w:p>
    <w:p w14:paraId="5BF32B17" w14:textId="77777777" w:rsidR="00F130E0" w:rsidRDefault="00A525A7">
      <w:pPr>
        <w:pStyle w:val="Standard"/>
        <w:numPr>
          <w:ilvl w:val="0"/>
          <w:numId w:val="15"/>
        </w:numPr>
        <w:spacing w:after="200" w:line="276" w:lineRule="auto"/>
        <w:jc w:val="both"/>
      </w:pPr>
      <w:r>
        <w:rPr>
          <w:rFonts w:ascii="Verdana" w:hAnsi="Verdana" w:cs="Arial"/>
          <w:sz w:val="20"/>
          <w:szCs w:val="20"/>
        </w:rPr>
        <w:t xml:space="preserve">con determinazione dirigenziale n. 329 del 31.07.2023 è stato approvato il Bando A </w:t>
      </w:r>
      <w:proofErr w:type="spellStart"/>
      <w:r>
        <w:rPr>
          <w:rFonts w:ascii="Verdana" w:hAnsi="Verdana" w:cs="Arial"/>
          <w:sz w:val="20"/>
          <w:szCs w:val="20"/>
        </w:rPr>
        <w:t>a</w:t>
      </w:r>
      <w:proofErr w:type="spellEnd"/>
      <w:r>
        <w:rPr>
          <w:rFonts w:ascii="Verdana" w:hAnsi="Verdana" w:cs="Arial"/>
          <w:sz w:val="20"/>
          <w:szCs w:val="20"/>
        </w:rPr>
        <w:t xml:space="preserve"> valere sul PR FESR 2021/2027 - “Attrazione e sostegno della propensione agli investimenti nel territorio”, volto a favorire il rilancio della propensione agli investimenti sul territorio attraverso l’attrazione e lo sviluppo di investimenti finalizzati al consolidamento del tessuto imprenditoriale, sostenendo anche interventi di riqualificazione dei siti produttivi dismessi, che consistano in:</w:t>
      </w:r>
    </w:p>
    <w:p w14:paraId="1AC902CD" w14:textId="77777777" w:rsidR="00F130E0" w:rsidRDefault="00A525A7">
      <w:pPr>
        <w:pStyle w:val="Standard"/>
        <w:spacing w:after="200" w:line="276" w:lineRule="auto"/>
        <w:ind w:left="720"/>
        <w:jc w:val="both"/>
      </w:pPr>
      <w:r>
        <w:rPr>
          <w:rFonts w:ascii="Verdana" w:hAnsi="Verdana" w:cs="Arial"/>
          <w:sz w:val="20"/>
          <w:szCs w:val="20"/>
        </w:rPr>
        <w:t>•</w:t>
      </w:r>
      <w:r>
        <w:rPr>
          <w:rFonts w:ascii="Verdana" w:hAnsi="Verdana" w:cs="Arial"/>
          <w:sz w:val="20"/>
          <w:szCs w:val="20"/>
        </w:rPr>
        <w:tab/>
        <w:t>investimenti da parte di imprese non ancora attive in Piemonte;</w:t>
      </w:r>
    </w:p>
    <w:p w14:paraId="2C7D261A" w14:textId="77777777" w:rsidR="00F130E0" w:rsidRDefault="00A525A7">
      <w:pPr>
        <w:pStyle w:val="Standard"/>
        <w:spacing w:after="200" w:line="276" w:lineRule="auto"/>
        <w:ind w:left="720"/>
        <w:jc w:val="both"/>
      </w:pPr>
      <w:r>
        <w:rPr>
          <w:rFonts w:ascii="Verdana" w:hAnsi="Verdana" w:cs="Arial"/>
          <w:sz w:val="20"/>
          <w:szCs w:val="20"/>
        </w:rPr>
        <w:t>•</w:t>
      </w:r>
      <w:r>
        <w:rPr>
          <w:rFonts w:ascii="Verdana" w:hAnsi="Verdana" w:cs="Arial"/>
          <w:sz w:val="20"/>
          <w:szCs w:val="20"/>
        </w:rPr>
        <w:tab/>
        <w:t>investimenti da parte di imprese che intendano reinsediarsi nel territorio regionale;</w:t>
      </w:r>
    </w:p>
    <w:p w14:paraId="582B6CB0" w14:textId="77777777" w:rsidR="00F130E0" w:rsidRDefault="00A525A7">
      <w:pPr>
        <w:pStyle w:val="Standard"/>
        <w:spacing w:after="200" w:line="276" w:lineRule="auto"/>
        <w:ind w:left="1418" w:hanging="698"/>
        <w:jc w:val="both"/>
      </w:pPr>
      <w:r>
        <w:rPr>
          <w:rFonts w:ascii="Verdana" w:hAnsi="Verdana" w:cs="Arial"/>
          <w:sz w:val="20"/>
          <w:szCs w:val="20"/>
        </w:rPr>
        <w:t>•</w:t>
      </w:r>
      <w:r>
        <w:rPr>
          <w:rFonts w:ascii="Verdana" w:hAnsi="Verdana" w:cs="Arial"/>
          <w:sz w:val="20"/>
          <w:szCs w:val="20"/>
        </w:rPr>
        <w:tab/>
        <w:t>investimenti da parte di imprese già presenti in Piemonte che intendano consolidare e radicare il proprio business sul territorio;</w:t>
      </w:r>
    </w:p>
    <w:p w14:paraId="14F59373" w14:textId="77777777" w:rsidR="00F130E0" w:rsidRDefault="00A525A7">
      <w:pPr>
        <w:pStyle w:val="Standard"/>
        <w:numPr>
          <w:ilvl w:val="0"/>
          <w:numId w:val="2"/>
        </w:numPr>
        <w:spacing w:after="200" w:line="276" w:lineRule="auto"/>
        <w:jc w:val="both"/>
      </w:pPr>
      <w:r>
        <w:rPr>
          <w:rFonts w:ascii="Verdana" w:hAnsi="Verdana" w:cs="Arial"/>
          <w:sz w:val="20"/>
          <w:szCs w:val="20"/>
        </w:rPr>
        <w:t>il Bando sostiene la realizzazione di programmi di investimento da parte di PMI e imprese a media capitalizzazione attraverso l’erogazione di un finanziamento, per il 70% a tasso 0 a valere su fondi pubblici e per il 30% a tasso bancario a valere su fondi bancari. Per le sole PMI è prevista anche l’erogazione di un contributo a fondo perduto;</w:t>
      </w:r>
    </w:p>
    <w:p w14:paraId="2C2671C1" w14:textId="77777777" w:rsidR="00F130E0" w:rsidRDefault="00A525A7">
      <w:pPr>
        <w:pStyle w:val="Standard"/>
        <w:numPr>
          <w:ilvl w:val="0"/>
          <w:numId w:val="2"/>
        </w:numPr>
        <w:spacing w:after="200" w:line="276" w:lineRule="auto"/>
        <w:jc w:val="both"/>
      </w:pPr>
      <w:r>
        <w:rPr>
          <w:rFonts w:ascii="Verdana" w:hAnsi="Verdana" w:cs="Arial"/>
          <w:sz w:val="20"/>
          <w:szCs w:val="20"/>
        </w:rPr>
        <w:t xml:space="preserve">il Bando intende inoltre stimolare l’occupazione correlata a tali investimenti prevedendo obblighi </w:t>
      </w:r>
      <w:proofErr w:type="spellStart"/>
      <w:r>
        <w:rPr>
          <w:rFonts w:ascii="Verdana" w:hAnsi="Verdana" w:cs="Arial"/>
          <w:sz w:val="20"/>
          <w:szCs w:val="20"/>
        </w:rPr>
        <w:t>assunzionali</w:t>
      </w:r>
      <w:proofErr w:type="spellEnd"/>
      <w:r>
        <w:rPr>
          <w:rFonts w:ascii="Verdana" w:hAnsi="Verdana" w:cs="Arial"/>
          <w:sz w:val="20"/>
          <w:szCs w:val="20"/>
        </w:rPr>
        <w:t xml:space="preserve"> minimi in relazione alla dimensione dell’impresa richiedente l’agevolazione;</w:t>
      </w:r>
    </w:p>
    <w:p w14:paraId="59E6BDD2" w14:textId="77777777" w:rsidR="00F130E0" w:rsidRDefault="00A525A7">
      <w:pPr>
        <w:pStyle w:val="Standard"/>
        <w:numPr>
          <w:ilvl w:val="0"/>
          <w:numId w:val="2"/>
        </w:numPr>
        <w:spacing w:after="200" w:line="276" w:lineRule="auto"/>
        <w:jc w:val="both"/>
      </w:pPr>
      <w:r>
        <w:rPr>
          <w:rFonts w:ascii="Verdana" w:hAnsi="Verdana" w:cs="Arial"/>
          <w:sz w:val="20"/>
          <w:szCs w:val="20"/>
        </w:rPr>
        <w:t xml:space="preserve">le funzioni relative alla gestione del Bando A sono affidate a Finpiemonte – società regionale in “House </w:t>
      </w:r>
      <w:proofErr w:type="spellStart"/>
      <w:r>
        <w:rPr>
          <w:rFonts w:ascii="Verdana" w:hAnsi="Verdana" w:cs="Arial"/>
          <w:sz w:val="20"/>
          <w:szCs w:val="20"/>
        </w:rPr>
        <w:t>Providing</w:t>
      </w:r>
      <w:proofErr w:type="spellEnd"/>
      <w:r>
        <w:rPr>
          <w:rFonts w:ascii="Verdana" w:hAnsi="Verdana" w:cs="Arial"/>
          <w:sz w:val="20"/>
          <w:szCs w:val="20"/>
        </w:rPr>
        <w:t xml:space="preserve">”, in qualità di Organismo di attuazione ai sensi del Regolamento n. 1060/2021 e </w:t>
      </w:r>
      <w:proofErr w:type="spellStart"/>
      <w:r>
        <w:rPr>
          <w:rFonts w:ascii="Verdana" w:hAnsi="Verdana" w:cs="Arial"/>
          <w:sz w:val="20"/>
          <w:szCs w:val="20"/>
        </w:rPr>
        <w:t>s.m.i.</w:t>
      </w:r>
      <w:proofErr w:type="spellEnd"/>
      <w:r>
        <w:rPr>
          <w:rFonts w:ascii="Verdana" w:hAnsi="Verdana" w:cs="Arial"/>
          <w:sz w:val="20"/>
          <w:szCs w:val="20"/>
        </w:rPr>
        <w:t>;</w:t>
      </w:r>
    </w:p>
    <w:p w14:paraId="040D10C9" w14:textId="77777777" w:rsidR="00F130E0" w:rsidRDefault="00A525A7">
      <w:pPr>
        <w:pStyle w:val="Standard"/>
        <w:numPr>
          <w:ilvl w:val="0"/>
          <w:numId w:val="2"/>
        </w:numPr>
        <w:spacing w:after="200" w:line="276" w:lineRule="auto"/>
        <w:jc w:val="both"/>
      </w:pPr>
      <w:r>
        <w:rPr>
          <w:rFonts w:ascii="Verdana" w:hAnsi="Verdana" w:cs="Arial"/>
          <w:sz w:val="20"/>
          <w:szCs w:val="20"/>
        </w:rPr>
        <w:t>ai sensi del paragrafo 3.2 del Bando, Finpiemonte: a) conduce in autonomia l’ammissibilità formale; b) per l’ammissibilità sostanziale e la valutazione si avvale di un Comitato di Valutazione che esprime un parere vincolante ed è composto da almeno un componente della Direzione Competitività del Sistema Regionale, almeno un componente di Finpiemonte, almeno un esperto indipendente in ambito ingegneristico con competenze in tema di transizione verde;</w:t>
      </w:r>
    </w:p>
    <w:p w14:paraId="0449AD4A" w14:textId="77777777" w:rsidR="00F130E0" w:rsidRDefault="00A525A7">
      <w:pPr>
        <w:pStyle w:val="Standard"/>
        <w:numPr>
          <w:ilvl w:val="0"/>
          <w:numId w:val="2"/>
        </w:numPr>
        <w:spacing w:after="200" w:line="276" w:lineRule="auto"/>
        <w:jc w:val="both"/>
      </w:pPr>
      <w:r>
        <w:rPr>
          <w:rFonts w:ascii="Verdana" w:hAnsi="Verdana" w:cs="Arial"/>
          <w:sz w:val="20"/>
          <w:szCs w:val="20"/>
        </w:rPr>
        <w:t>appurati gli esiti delle verifiche di ammissibilità formale effettuate da Finpiemonte, il Comitato di Valutazione ha il compito di esprimere un parere vincolante in merito agli esiti conclusivi della ammissibilità sostanziale e della valutazione di ciascuna domanda.</w:t>
      </w:r>
    </w:p>
    <w:p w14:paraId="1989A130" w14:textId="77777777" w:rsidR="00F130E0" w:rsidRDefault="00A525A7">
      <w:pPr>
        <w:pStyle w:val="Standard"/>
        <w:spacing w:after="200" w:line="276" w:lineRule="auto"/>
        <w:jc w:val="both"/>
      </w:pPr>
      <w:r>
        <w:rPr>
          <w:rFonts w:ascii="Verdana" w:hAnsi="Verdana" w:cs="Arial"/>
          <w:sz w:val="20"/>
          <w:szCs w:val="20"/>
        </w:rPr>
        <w:t xml:space="preserve">Accertata l’impossibilità a svolgere l’incarico da parte delle risorse interne di Finpiemonte per assenza di specifica professionalità, la società ha pertanto necessità di individuare un valutatore </w:t>
      </w:r>
      <w:r>
        <w:rPr>
          <w:rFonts w:ascii="Verdana" w:hAnsi="Verdana" w:cs="Arial"/>
          <w:sz w:val="20"/>
          <w:szCs w:val="20"/>
        </w:rPr>
        <w:lastRenderedPageBreak/>
        <w:t xml:space="preserve">cui conferire </w:t>
      </w:r>
      <w:r>
        <w:rPr>
          <w:rFonts w:ascii="Verdana" w:eastAsia="Times New Roman" w:hAnsi="Verdana" w:cs="Arial"/>
          <w:sz w:val="20"/>
          <w:szCs w:val="20"/>
          <w:lang w:eastAsia="it-IT"/>
        </w:rPr>
        <w:t>l’incarico di componente effettivo del sopradescritto Comitato di Valutazione delle domande di contributo ricevute.</w:t>
      </w:r>
    </w:p>
    <w:p w14:paraId="4FF975D8" w14:textId="77777777" w:rsidR="00F130E0" w:rsidRDefault="00A525A7">
      <w:pPr>
        <w:pStyle w:val="Standard"/>
        <w:spacing w:after="200" w:line="276" w:lineRule="auto"/>
        <w:jc w:val="both"/>
      </w:pPr>
      <w:r>
        <w:rPr>
          <w:rFonts w:ascii="Verdana" w:eastAsia="Times New Roman" w:hAnsi="Verdana" w:cs="Arial"/>
          <w:sz w:val="20"/>
          <w:szCs w:val="20"/>
          <w:lang w:eastAsia="it-IT"/>
        </w:rPr>
        <w:t>Il valutatore così selezionato deve disporre di un profilo altamente qualificato e presentare caratteristiche di particolare e comprovata specializzazione, adeguate allo svolgimento delle attività nel seguito indicate.</w:t>
      </w:r>
    </w:p>
    <w:p w14:paraId="302ABD48" w14:textId="77777777" w:rsidR="00F130E0" w:rsidRDefault="00A525A7">
      <w:pPr>
        <w:pStyle w:val="Titolo1"/>
        <w:spacing w:after="200" w:line="276" w:lineRule="auto"/>
      </w:pPr>
      <w:r>
        <w:rPr>
          <w:rFonts w:ascii="Verdana" w:hAnsi="Verdana" w:cs="Arial"/>
          <w:sz w:val="20"/>
          <w:szCs w:val="20"/>
          <w:u w:val="none"/>
        </w:rPr>
        <w:t>1. Oggetto dell’incarico</w:t>
      </w:r>
    </w:p>
    <w:p w14:paraId="72AC3684" w14:textId="77777777" w:rsidR="00F130E0" w:rsidRDefault="00A525A7">
      <w:pPr>
        <w:pStyle w:val="Standard"/>
        <w:jc w:val="both"/>
      </w:pPr>
      <w:r>
        <w:rPr>
          <w:rFonts w:ascii="Verdana" w:hAnsi="Verdana"/>
          <w:iCs/>
          <w:sz w:val="20"/>
          <w:szCs w:val="20"/>
        </w:rPr>
        <w:t>L’oggetto dell’incarico riguarda la partecipazione attiva, in qualità di membro effettivo, al Comitato di Valutazione istituito nell’ambito del PR FESR 2021/2027 Bando A “</w:t>
      </w:r>
      <w:r>
        <w:rPr>
          <w:rFonts w:ascii="Verdana" w:hAnsi="Verdana" w:cs="Arial"/>
          <w:sz w:val="20"/>
          <w:szCs w:val="20"/>
        </w:rPr>
        <w:t>Attrazione e sostegno della propensione agli investimenti nel territorio</w:t>
      </w:r>
      <w:r>
        <w:rPr>
          <w:rFonts w:ascii="Verdana" w:hAnsi="Verdana"/>
          <w:iCs/>
          <w:sz w:val="20"/>
          <w:szCs w:val="20"/>
        </w:rPr>
        <w:t xml:space="preserve">”, volto a </w:t>
      </w:r>
      <w:r>
        <w:rPr>
          <w:rFonts w:ascii="Verdana" w:hAnsi="Verdana" w:cs="Arial"/>
          <w:sz w:val="20"/>
          <w:szCs w:val="20"/>
        </w:rPr>
        <w:t>favorire il rilancio della propensione agli investimenti sul territorio attraverso l’attrazione e lo sviluppo di investimenti finalizzati al consolidamento del tessuto imprenditoriale, sostenendo anche interventi di riqualificazione dei siti produttivi dismessi, nonché ad incentivare l’occupazione correlata a tali investimenti</w:t>
      </w:r>
      <w:r>
        <w:rPr>
          <w:rFonts w:ascii="Verdana" w:hAnsi="Verdana"/>
          <w:iCs/>
          <w:sz w:val="20"/>
          <w:szCs w:val="20"/>
        </w:rPr>
        <w:t>.</w:t>
      </w:r>
    </w:p>
    <w:p w14:paraId="53B44B1B" w14:textId="77777777" w:rsidR="00F130E0" w:rsidRDefault="00A525A7">
      <w:pPr>
        <w:pStyle w:val="Standard"/>
        <w:spacing w:after="200" w:line="276" w:lineRule="auto"/>
        <w:jc w:val="both"/>
      </w:pPr>
      <w:r>
        <w:rPr>
          <w:rFonts w:ascii="Verdana" w:hAnsi="Verdana" w:cs="Arial"/>
          <w:sz w:val="20"/>
          <w:szCs w:val="20"/>
        </w:rPr>
        <w:t xml:space="preserve">Il valutatore è chiamato a contribuire allo </w:t>
      </w:r>
      <w:r>
        <w:rPr>
          <w:rFonts w:ascii="Verdana" w:hAnsi="Verdana"/>
          <w:iCs/>
          <w:sz w:val="20"/>
          <w:szCs w:val="20"/>
        </w:rPr>
        <w:t>svolgimento delle attività istruttorie previste dal Bando stesso e finalizzate alla concessione delle agevolazioni. In particolare, all’interno del Comitato di Valutazione il valutatore deve partecipare agli incontri diretti con lo stesso, valutare l’ammissibilità sostanziale ed effettuare la valutazione delle progettualità ai sensi di quanto previsto al par. 3.2 del Bando.</w:t>
      </w:r>
    </w:p>
    <w:p w14:paraId="46B22D0A" w14:textId="77777777" w:rsidR="00F130E0" w:rsidRDefault="00A525A7">
      <w:pPr>
        <w:pStyle w:val="Standard"/>
        <w:spacing w:after="200" w:line="276" w:lineRule="auto"/>
        <w:jc w:val="both"/>
      </w:pPr>
      <w:r>
        <w:rPr>
          <w:rFonts w:ascii="Verdana" w:hAnsi="Verdana"/>
          <w:iCs/>
          <w:sz w:val="20"/>
          <w:szCs w:val="20"/>
        </w:rPr>
        <w:t>Nello specifico, l’ammissibilità sostanziale prevede la verifica di quanto segue:</w:t>
      </w:r>
    </w:p>
    <w:p w14:paraId="3C76B77E" w14:textId="77777777" w:rsidR="00F130E0" w:rsidRDefault="00A525A7">
      <w:pPr>
        <w:pStyle w:val="Paragrafoelenco"/>
        <w:numPr>
          <w:ilvl w:val="0"/>
          <w:numId w:val="16"/>
        </w:numPr>
        <w:ind w:left="284" w:hanging="284"/>
        <w:jc w:val="both"/>
      </w:pPr>
      <w:r>
        <w:rPr>
          <w:rFonts w:ascii="Verdana" w:hAnsi="Verdana"/>
          <w:iCs/>
          <w:sz w:val="20"/>
          <w:szCs w:val="20"/>
        </w:rPr>
        <w:t>Coerenza dell’operazione con la strategia, i contenuti e gli obiettivi del Programma Regionale;</w:t>
      </w:r>
    </w:p>
    <w:p w14:paraId="316A34F7" w14:textId="77777777" w:rsidR="00F130E0" w:rsidRDefault="00A525A7">
      <w:pPr>
        <w:pStyle w:val="Paragrafoelenco"/>
        <w:numPr>
          <w:ilvl w:val="0"/>
          <w:numId w:val="7"/>
        </w:numPr>
        <w:ind w:left="284" w:hanging="284"/>
        <w:jc w:val="both"/>
      </w:pPr>
      <w:r>
        <w:rPr>
          <w:rFonts w:ascii="Verdana" w:hAnsi="Verdana"/>
          <w:iCs/>
          <w:sz w:val="20"/>
          <w:szCs w:val="20"/>
        </w:rPr>
        <w:t xml:space="preserve">Coerenza delle operazioni con l’ambito di applicazione del FESR e le tipologie di intervento in esso previste in conformità con quanto previsto dall'art. 73, comma 2, </w:t>
      </w:r>
      <w:proofErr w:type="spellStart"/>
      <w:r>
        <w:rPr>
          <w:rFonts w:ascii="Verdana" w:hAnsi="Verdana"/>
          <w:iCs/>
          <w:sz w:val="20"/>
          <w:szCs w:val="20"/>
        </w:rPr>
        <w:t>lett</w:t>
      </w:r>
      <w:proofErr w:type="spellEnd"/>
      <w:r>
        <w:rPr>
          <w:rFonts w:ascii="Verdana" w:hAnsi="Verdana"/>
          <w:iCs/>
          <w:sz w:val="20"/>
          <w:szCs w:val="20"/>
        </w:rPr>
        <w:t>. g) del Reg. (UE) 2021/1060;</w:t>
      </w:r>
    </w:p>
    <w:p w14:paraId="527EB98D" w14:textId="77777777" w:rsidR="00F130E0" w:rsidRDefault="00A525A7">
      <w:pPr>
        <w:pStyle w:val="Paragrafoelenco"/>
        <w:numPr>
          <w:ilvl w:val="0"/>
          <w:numId w:val="7"/>
        </w:numPr>
        <w:ind w:left="284" w:hanging="284"/>
        <w:jc w:val="both"/>
      </w:pPr>
      <w:r>
        <w:rPr>
          <w:rFonts w:ascii="Verdana" w:hAnsi="Verdana"/>
          <w:iCs/>
          <w:sz w:val="20"/>
          <w:szCs w:val="20"/>
        </w:rPr>
        <w:t>Rispetto del principio DNSH e coerenza con le valutazioni VAS/</w:t>
      </w:r>
      <w:proofErr w:type="spellStart"/>
      <w:r>
        <w:rPr>
          <w:rFonts w:ascii="Verdana" w:hAnsi="Verdana"/>
          <w:iCs/>
          <w:sz w:val="20"/>
          <w:szCs w:val="20"/>
        </w:rPr>
        <w:t>VinCA</w:t>
      </w:r>
      <w:proofErr w:type="spellEnd"/>
      <w:r>
        <w:rPr>
          <w:rFonts w:ascii="Verdana" w:hAnsi="Verdana"/>
          <w:iCs/>
          <w:sz w:val="20"/>
          <w:szCs w:val="20"/>
        </w:rPr>
        <w:t>;</w:t>
      </w:r>
    </w:p>
    <w:p w14:paraId="62A13D8C" w14:textId="77777777" w:rsidR="00F130E0" w:rsidRDefault="00A525A7">
      <w:pPr>
        <w:pStyle w:val="Paragrafoelenco"/>
        <w:numPr>
          <w:ilvl w:val="0"/>
          <w:numId w:val="7"/>
        </w:numPr>
        <w:ind w:left="284" w:hanging="284"/>
        <w:jc w:val="both"/>
      </w:pPr>
      <w:r>
        <w:rPr>
          <w:rFonts w:ascii="Verdana" w:hAnsi="Verdana"/>
          <w:iCs/>
          <w:sz w:val="20"/>
          <w:szCs w:val="20"/>
        </w:rPr>
        <w:t>Contributo alla Strategia Regionale per lo Sviluppo Sostenibile (</w:t>
      </w:r>
      <w:proofErr w:type="spellStart"/>
      <w:r>
        <w:rPr>
          <w:rFonts w:ascii="Verdana" w:hAnsi="Verdana"/>
          <w:iCs/>
          <w:sz w:val="20"/>
          <w:szCs w:val="20"/>
        </w:rPr>
        <w:t>SRSvS</w:t>
      </w:r>
      <w:proofErr w:type="spellEnd"/>
      <w:r>
        <w:rPr>
          <w:rFonts w:ascii="Verdana" w:hAnsi="Verdana"/>
          <w:iCs/>
          <w:sz w:val="20"/>
          <w:szCs w:val="20"/>
        </w:rPr>
        <w:t>).</w:t>
      </w:r>
    </w:p>
    <w:p w14:paraId="5EC31034" w14:textId="77777777" w:rsidR="00F130E0" w:rsidRDefault="00A525A7">
      <w:pPr>
        <w:pStyle w:val="Standard"/>
        <w:jc w:val="both"/>
      </w:pPr>
      <w:r>
        <w:rPr>
          <w:rFonts w:ascii="Verdana" w:hAnsi="Verdana"/>
          <w:iCs/>
          <w:sz w:val="20"/>
          <w:szCs w:val="20"/>
        </w:rPr>
        <w:t>La valutazione prevede i seguenti criteri:</w:t>
      </w:r>
    </w:p>
    <w:p w14:paraId="7C518DC1" w14:textId="77777777" w:rsidR="00F130E0" w:rsidRDefault="00A525A7">
      <w:pPr>
        <w:pStyle w:val="Paragrafoelenco"/>
        <w:numPr>
          <w:ilvl w:val="0"/>
          <w:numId w:val="17"/>
        </w:numPr>
        <w:ind w:left="284" w:hanging="284"/>
        <w:jc w:val="both"/>
      </w:pPr>
      <w:r>
        <w:rPr>
          <w:rFonts w:ascii="Verdana" w:hAnsi="Verdana"/>
          <w:iCs/>
          <w:sz w:val="20"/>
          <w:szCs w:val="20"/>
        </w:rPr>
        <w:t>Qualità tecnica del progetto in termini di:</w:t>
      </w:r>
    </w:p>
    <w:p w14:paraId="5FB81069" w14:textId="77777777" w:rsidR="00F130E0" w:rsidRDefault="00A525A7">
      <w:pPr>
        <w:pStyle w:val="Paragrafoelenco"/>
        <w:numPr>
          <w:ilvl w:val="0"/>
          <w:numId w:val="7"/>
        </w:numPr>
        <w:ind w:left="426" w:hanging="284"/>
        <w:jc w:val="both"/>
      </w:pPr>
      <w:r>
        <w:rPr>
          <w:rFonts w:ascii="Verdana" w:hAnsi="Verdana"/>
          <w:iCs/>
          <w:sz w:val="20"/>
          <w:szCs w:val="20"/>
        </w:rPr>
        <w:t>chiarezza nella definizione degli obiettivi e loro coerenza con quelli indicati nel PR e nel bando;</w:t>
      </w:r>
    </w:p>
    <w:p w14:paraId="335A6A2E" w14:textId="77777777" w:rsidR="00F130E0" w:rsidRDefault="00A525A7">
      <w:pPr>
        <w:pStyle w:val="Paragrafoelenco"/>
        <w:numPr>
          <w:ilvl w:val="0"/>
          <w:numId w:val="7"/>
        </w:numPr>
        <w:ind w:left="426" w:hanging="284"/>
        <w:jc w:val="both"/>
      </w:pPr>
      <w:r>
        <w:rPr>
          <w:rFonts w:ascii="Verdana" w:hAnsi="Verdana"/>
          <w:iCs/>
          <w:sz w:val="20"/>
          <w:szCs w:val="20"/>
        </w:rPr>
        <w:t>innovatività delle tecnologie introdotte per effetto del progetto proposto e della capacità di quest’ultimo di innalzare il livello di competitività dell'impresa proponente e del sistema regionale;</w:t>
      </w:r>
    </w:p>
    <w:p w14:paraId="2EA83EFA" w14:textId="77777777" w:rsidR="00F130E0" w:rsidRDefault="00A525A7">
      <w:pPr>
        <w:pStyle w:val="Paragrafoelenco"/>
        <w:numPr>
          <w:ilvl w:val="0"/>
          <w:numId w:val="7"/>
        </w:numPr>
        <w:ind w:left="426" w:hanging="284"/>
        <w:jc w:val="both"/>
      </w:pPr>
      <w:r>
        <w:rPr>
          <w:rFonts w:ascii="Verdana" w:hAnsi="Verdana"/>
          <w:iCs/>
          <w:sz w:val="20"/>
          <w:szCs w:val="20"/>
        </w:rPr>
        <w:t>capacità del progetto di favorire una ottimizzazione dei costi di gestione e una maggiore efficienza e integrazione dei processi aziendali interni e/o di filiera;</w:t>
      </w:r>
    </w:p>
    <w:p w14:paraId="0784D59D" w14:textId="77777777" w:rsidR="00F130E0" w:rsidRDefault="00A525A7">
      <w:pPr>
        <w:pStyle w:val="Paragrafoelenco"/>
        <w:numPr>
          <w:ilvl w:val="0"/>
          <w:numId w:val="7"/>
        </w:numPr>
        <w:ind w:left="426" w:hanging="284"/>
        <w:jc w:val="both"/>
      </w:pPr>
      <w:r>
        <w:rPr>
          <w:rFonts w:ascii="Verdana" w:hAnsi="Verdana"/>
          <w:iCs/>
          <w:sz w:val="20"/>
          <w:szCs w:val="20"/>
        </w:rPr>
        <w:t>capacità del progetto di sviluppare nuove aree strategiche, anche con riferimento alle proprie performance ambientali e sociali;</w:t>
      </w:r>
    </w:p>
    <w:p w14:paraId="0E03A4E1" w14:textId="77777777" w:rsidR="00F130E0" w:rsidRDefault="00A525A7">
      <w:pPr>
        <w:pStyle w:val="Paragrafoelenco"/>
        <w:numPr>
          <w:ilvl w:val="0"/>
          <w:numId w:val="7"/>
        </w:numPr>
        <w:ind w:left="426" w:hanging="284"/>
        <w:jc w:val="both"/>
      </w:pPr>
      <w:r>
        <w:rPr>
          <w:rFonts w:ascii="Verdana" w:hAnsi="Verdana"/>
          <w:iCs/>
          <w:sz w:val="20"/>
          <w:szCs w:val="20"/>
        </w:rPr>
        <w:lastRenderedPageBreak/>
        <w:t>capacità del progetto di rafforzare la posizione dell’impresa nel mercato o filiera di riferimento o di favorire il suo ingresso in nuovi mercati o filiere;</w:t>
      </w:r>
    </w:p>
    <w:p w14:paraId="3CD91219" w14:textId="77777777" w:rsidR="00F130E0" w:rsidRDefault="00A525A7">
      <w:pPr>
        <w:pStyle w:val="Paragrafoelenco"/>
        <w:numPr>
          <w:ilvl w:val="0"/>
          <w:numId w:val="7"/>
        </w:numPr>
        <w:ind w:left="426" w:hanging="284"/>
        <w:jc w:val="both"/>
      </w:pPr>
      <w:r>
        <w:rPr>
          <w:rFonts w:ascii="Verdana" w:hAnsi="Verdana"/>
          <w:iCs/>
          <w:sz w:val="20"/>
          <w:szCs w:val="20"/>
        </w:rPr>
        <w:t>capacità del progetto di azionare ricadute positive in termini occupazionali.</w:t>
      </w:r>
    </w:p>
    <w:p w14:paraId="6E98120F" w14:textId="77777777" w:rsidR="00F130E0" w:rsidRDefault="00F130E0">
      <w:pPr>
        <w:pStyle w:val="Paragrafoelenco"/>
        <w:ind w:left="284"/>
        <w:jc w:val="both"/>
        <w:rPr>
          <w:rFonts w:ascii="Verdana" w:hAnsi="Verdana"/>
          <w:iCs/>
          <w:sz w:val="20"/>
          <w:szCs w:val="20"/>
        </w:rPr>
      </w:pPr>
    </w:p>
    <w:p w14:paraId="5AF9C681" w14:textId="77777777" w:rsidR="00F130E0" w:rsidRDefault="00A525A7">
      <w:pPr>
        <w:pStyle w:val="Paragrafoelenco"/>
        <w:numPr>
          <w:ilvl w:val="0"/>
          <w:numId w:val="9"/>
        </w:numPr>
        <w:ind w:left="284" w:hanging="284"/>
        <w:jc w:val="both"/>
      </w:pPr>
      <w:r>
        <w:rPr>
          <w:rFonts w:ascii="Verdana" w:hAnsi="Verdana"/>
          <w:iCs/>
          <w:sz w:val="20"/>
          <w:szCs w:val="20"/>
        </w:rPr>
        <w:t>Sostenibilità ambientale del progetto in termini di:</w:t>
      </w:r>
    </w:p>
    <w:p w14:paraId="3B4122D9" w14:textId="77777777" w:rsidR="00F130E0" w:rsidRDefault="00A525A7">
      <w:pPr>
        <w:pStyle w:val="Paragrafoelenco"/>
        <w:numPr>
          <w:ilvl w:val="0"/>
          <w:numId w:val="18"/>
        </w:numPr>
        <w:ind w:left="426" w:hanging="284"/>
        <w:jc w:val="both"/>
      </w:pPr>
      <w:r>
        <w:rPr>
          <w:rFonts w:ascii="Verdana" w:hAnsi="Verdana"/>
          <w:iCs/>
          <w:sz w:val="20"/>
          <w:szCs w:val="20"/>
        </w:rPr>
        <w:t>incrementi di efficienza nell’uso delle risorse (acqua, materie prime, fonti energetiche) nel processo produttivo;</w:t>
      </w:r>
    </w:p>
    <w:p w14:paraId="4CE2AC75" w14:textId="77777777" w:rsidR="00F130E0" w:rsidRDefault="00A525A7">
      <w:pPr>
        <w:pStyle w:val="Paragrafoelenco"/>
        <w:numPr>
          <w:ilvl w:val="0"/>
          <w:numId w:val="8"/>
        </w:numPr>
        <w:ind w:left="426" w:hanging="284"/>
        <w:jc w:val="both"/>
      </w:pPr>
      <w:r>
        <w:rPr>
          <w:rFonts w:ascii="Verdana" w:hAnsi="Verdana"/>
          <w:iCs/>
          <w:sz w:val="20"/>
          <w:szCs w:val="20"/>
        </w:rPr>
        <w:t>minimizzazione delle emissioni climalteranti;</w:t>
      </w:r>
    </w:p>
    <w:p w14:paraId="2EFEE53D" w14:textId="77777777" w:rsidR="00F130E0" w:rsidRDefault="00A525A7">
      <w:pPr>
        <w:pStyle w:val="Paragrafoelenco"/>
        <w:numPr>
          <w:ilvl w:val="0"/>
          <w:numId w:val="8"/>
        </w:numPr>
        <w:ind w:left="426" w:hanging="284"/>
        <w:jc w:val="both"/>
      </w:pPr>
      <w:r>
        <w:rPr>
          <w:rFonts w:ascii="Verdana" w:hAnsi="Verdana"/>
          <w:iCs/>
          <w:sz w:val="20"/>
          <w:szCs w:val="20"/>
        </w:rPr>
        <w:t>riduzione degli scarti produttivi/non riutilizzabili.</w:t>
      </w:r>
    </w:p>
    <w:p w14:paraId="03AD1BBF" w14:textId="77777777" w:rsidR="00F130E0" w:rsidRDefault="00F130E0">
      <w:pPr>
        <w:pStyle w:val="Paragrafoelenco"/>
        <w:ind w:left="426"/>
        <w:jc w:val="both"/>
        <w:rPr>
          <w:rFonts w:ascii="Verdana" w:hAnsi="Verdana"/>
          <w:iCs/>
          <w:sz w:val="20"/>
          <w:szCs w:val="20"/>
        </w:rPr>
      </w:pPr>
    </w:p>
    <w:p w14:paraId="230E25E9" w14:textId="77777777" w:rsidR="00F130E0" w:rsidRDefault="00A525A7">
      <w:pPr>
        <w:pStyle w:val="Paragrafoelenco"/>
        <w:numPr>
          <w:ilvl w:val="0"/>
          <w:numId w:val="9"/>
        </w:numPr>
        <w:ind w:left="284" w:hanging="284"/>
        <w:jc w:val="both"/>
      </w:pPr>
      <w:r>
        <w:rPr>
          <w:rFonts w:ascii="Verdana" w:hAnsi="Verdana"/>
          <w:iCs/>
          <w:sz w:val="20"/>
          <w:szCs w:val="20"/>
        </w:rPr>
        <w:t>Qualità economico finanziaria del progetto in termini di:</w:t>
      </w:r>
    </w:p>
    <w:p w14:paraId="70D125F9" w14:textId="77777777" w:rsidR="00F130E0" w:rsidRDefault="00A525A7">
      <w:pPr>
        <w:pStyle w:val="Paragrafoelenco"/>
        <w:numPr>
          <w:ilvl w:val="0"/>
          <w:numId w:val="8"/>
        </w:numPr>
        <w:ind w:left="426" w:hanging="284"/>
        <w:jc w:val="both"/>
      </w:pPr>
      <w:r>
        <w:rPr>
          <w:rFonts w:ascii="Verdana" w:hAnsi="Verdana"/>
          <w:iCs/>
          <w:sz w:val="20"/>
          <w:szCs w:val="20"/>
        </w:rPr>
        <w:t>miglior rapporto tra costi e benefici che si intende ottenere per effetto del progetto</w:t>
      </w:r>
    </w:p>
    <w:p w14:paraId="22AAA27E" w14:textId="77777777" w:rsidR="00F130E0" w:rsidRDefault="00F130E0">
      <w:pPr>
        <w:pStyle w:val="Paragrafoelenco"/>
        <w:ind w:left="426"/>
        <w:jc w:val="both"/>
        <w:rPr>
          <w:rFonts w:ascii="Verdana" w:hAnsi="Verdana"/>
          <w:iCs/>
          <w:sz w:val="20"/>
          <w:szCs w:val="20"/>
        </w:rPr>
      </w:pPr>
    </w:p>
    <w:p w14:paraId="072877F2" w14:textId="77777777" w:rsidR="00F130E0" w:rsidRDefault="00A525A7">
      <w:pPr>
        <w:pStyle w:val="Paragrafoelenco"/>
        <w:numPr>
          <w:ilvl w:val="0"/>
          <w:numId w:val="9"/>
        </w:numPr>
        <w:ind w:left="284" w:hanging="284"/>
        <w:jc w:val="both"/>
      </w:pPr>
      <w:r>
        <w:rPr>
          <w:rFonts w:ascii="Verdana" w:hAnsi="Verdana"/>
          <w:iCs/>
          <w:sz w:val="20"/>
          <w:szCs w:val="20"/>
        </w:rPr>
        <w:t>Capacità economico-finanziaria del destinatario finale in termini di:</w:t>
      </w:r>
    </w:p>
    <w:p w14:paraId="368E2CEC" w14:textId="77777777" w:rsidR="00F130E0" w:rsidRDefault="00A525A7">
      <w:pPr>
        <w:pStyle w:val="Paragrafoelenco"/>
        <w:numPr>
          <w:ilvl w:val="0"/>
          <w:numId w:val="8"/>
        </w:numPr>
        <w:ind w:left="426" w:hanging="284"/>
        <w:jc w:val="both"/>
      </w:pPr>
      <w:r>
        <w:rPr>
          <w:rFonts w:ascii="Verdana" w:hAnsi="Verdana"/>
          <w:iCs/>
          <w:sz w:val="20"/>
          <w:szCs w:val="20"/>
        </w:rPr>
        <w:t>disponibilità di risorse necessarie a coprire i costi di gestione e di manutenzione degli investimenti previsti;</w:t>
      </w:r>
    </w:p>
    <w:p w14:paraId="075E2172" w14:textId="77777777" w:rsidR="00F130E0" w:rsidRDefault="00A525A7">
      <w:pPr>
        <w:pStyle w:val="Paragrafoelenco"/>
        <w:numPr>
          <w:ilvl w:val="0"/>
          <w:numId w:val="8"/>
        </w:numPr>
        <w:ind w:left="426" w:hanging="284"/>
        <w:jc w:val="both"/>
      </w:pPr>
      <w:r>
        <w:rPr>
          <w:rFonts w:ascii="Verdana" w:hAnsi="Verdana"/>
          <w:iCs/>
          <w:sz w:val="20"/>
          <w:szCs w:val="20"/>
        </w:rPr>
        <w:t>sostenibilità economica in rapporto agli impegni assunti nel programma di attività finanziato.</w:t>
      </w:r>
    </w:p>
    <w:p w14:paraId="4135BF5F" w14:textId="77777777" w:rsidR="00F130E0" w:rsidRDefault="00F130E0">
      <w:pPr>
        <w:pStyle w:val="Paragrafoelenco"/>
        <w:ind w:left="426"/>
        <w:jc w:val="both"/>
        <w:rPr>
          <w:rFonts w:ascii="Verdana" w:hAnsi="Verdana"/>
          <w:iCs/>
          <w:sz w:val="20"/>
          <w:szCs w:val="20"/>
        </w:rPr>
      </w:pPr>
    </w:p>
    <w:p w14:paraId="45FB78C0" w14:textId="77777777" w:rsidR="00F130E0" w:rsidRDefault="00A525A7">
      <w:pPr>
        <w:pStyle w:val="Paragrafoelenco"/>
        <w:numPr>
          <w:ilvl w:val="0"/>
          <w:numId w:val="9"/>
        </w:numPr>
        <w:ind w:left="284" w:hanging="284"/>
        <w:jc w:val="both"/>
      </w:pPr>
      <w:r>
        <w:rPr>
          <w:rFonts w:ascii="Verdana" w:hAnsi="Verdana"/>
          <w:iCs/>
          <w:sz w:val="20"/>
          <w:szCs w:val="20"/>
        </w:rPr>
        <w:t>Capacità organizzativa tecnica e gestionale in relazione agli obiettivi ed al contenuto dell’intervento.</w:t>
      </w:r>
    </w:p>
    <w:p w14:paraId="5B544467" w14:textId="77777777" w:rsidR="00F130E0" w:rsidRDefault="00F130E0">
      <w:pPr>
        <w:pStyle w:val="Paragrafoelenco"/>
        <w:jc w:val="both"/>
        <w:rPr>
          <w:rFonts w:ascii="Verdana" w:hAnsi="Verdana"/>
          <w:iCs/>
          <w:sz w:val="20"/>
          <w:szCs w:val="20"/>
        </w:rPr>
      </w:pPr>
    </w:p>
    <w:p w14:paraId="4AD0F76A" w14:textId="77777777" w:rsidR="00F130E0" w:rsidRDefault="00A525A7">
      <w:pPr>
        <w:pStyle w:val="Paragrafoelenco"/>
        <w:numPr>
          <w:ilvl w:val="0"/>
          <w:numId w:val="9"/>
        </w:numPr>
        <w:ind w:left="284" w:hanging="284"/>
        <w:jc w:val="both"/>
      </w:pPr>
      <w:r>
        <w:rPr>
          <w:rFonts w:ascii="Verdana" w:hAnsi="Verdana"/>
          <w:iCs/>
          <w:sz w:val="20"/>
          <w:szCs w:val="20"/>
        </w:rPr>
        <w:t>Durabilità dei benefici prodotti dal progetto dopo il completamento dello stesso.</w:t>
      </w:r>
    </w:p>
    <w:p w14:paraId="4DB068BC" w14:textId="77777777" w:rsidR="00F130E0" w:rsidRDefault="00A525A7">
      <w:pPr>
        <w:pStyle w:val="Standard"/>
        <w:spacing w:after="200" w:line="276" w:lineRule="auto"/>
        <w:jc w:val="both"/>
      </w:pPr>
      <w:r>
        <w:rPr>
          <w:rFonts w:ascii="Verdana" w:hAnsi="Verdana"/>
          <w:color w:val="000000"/>
          <w:sz w:val="20"/>
          <w:szCs w:val="20"/>
        </w:rPr>
        <w:t xml:space="preserve">Il valutatore deve </w:t>
      </w:r>
      <w:r>
        <w:rPr>
          <w:rFonts w:ascii="Verdana" w:hAnsi="Verdana"/>
          <w:iCs/>
          <w:sz w:val="20"/>
          <w:szCs w:val="20"/>
        </w:rPr>
        <w:t>assicurare le seguenti attività:</w:t>
      </w:r>
    </w:p>
    <w:p w14:paraId="31552CFA" w14:textId="77777777" w:rsidR="00AE348A" w:rsidRDefault="00A525A7" w:rsidP="00AE348A">
      <w:pPr>
        <w:pStyle w:val="Paragrafoelenco"/>
        <w:numPr>
          <w:ilvl w:val="0"/>
          <w:numId w:val="19"/>
        </w:numPr>
        <w:jc w:val="both"/>
      </w:pPr>
      <w:r>
        <w:rPr>
          <w:rFonts w:ascii="Verdana" w:hAnsi="Verdana"/>
          <w:iCs/>
          <w:sz w:val="20"/>
          <w:szCs w:val="20"/>
        </w:rPr>
        <w:t>definizione e pianificazione delle modalità di valutazione delle proposte, in accordo con le finalità del Bando e le linee guida della Regione Piemonte e di Finpiemonte,</w:t>
      </w:r>
      <w:r>
        <w:rPr>
          <w:rFonts w:ascii="Verdana" w:hAnsi="Verdana"/>
          <w:color w:val="000000"/>
          <w:sz w:val="20"/>
          <w:szCs w:val="20"/>
        </w:rPr>
        <w:t xml:space="preserve"> nonché in ottemperanza al par. 3.2 del Bando e ai criteri indicati all’Allegato 5 dello stesso</w:t>
      </w:r>
      <w:r>
        <w:rPr>
          <w:rFonts w:ascii="Verdana" w:hAnsi="Verdana"/>
          <w:iCs/>
          <w:color w:val="000000"/>
          <w:sz w:val="20"/>
          <w:szCs w:val="20"/>
        </w:rPr>
        <w:t>;</w:t>
      </w:r>
    </w:p>
    <w:p w14:paraId="3F1700CD" w14:textId="3216D77A" w:rsidR="00F130E0" w:rsidRDefault="00AE348A" w:rsidP="00AE348A">
      <w:pPr>
        <w:pStyle w:val="Paragrafoelenco"/>
        <w:numPr>
          <w:ilvl w:val="0"/>
          <w:numId w:val="19"/>
        </w:numPr>
        <w:jc w:val="both"/>
      </w:pPr>
      <w:r w:rsidRPr="00AE348A">
        <w:rPr>
          <w:rFonts w:ascii="Verdana" w:hAnsi="Verdana"/>
          <w:color w:val="000000"/>
          <w:sz w:val="20"/>
          <w:szCs w:val="20"/>
        </w:rPr>
        <w:t>valutazione tecnica e di merito dei progetti pervenuti mediante la compilazione della griglia di valutazione, per quanto di competenza, di cui al sopracitato Allegato 5 e condivisione della stessa durante le sedute del Comitato</w:t>
      </w:r>
      <w:r w:rsidR="00A525A7" w:rsidRPr="00AE348A">
        <w:rPr>
          <w:rFonts w:ascii="Verdana" w:hAnsi="Verdana"/>
          <w:color w:val="000000"/>
          <w:sz w:val="20"/>
          <w:szCs w:val="20"/>
        </w:rPr>
        <w:t>;</w:t>
      </w:r>
    </w:p>
    <w:p w14:paraId="70868067" w14:textId="77777777" w:rsidR="00F130E0" w:rsidRDefault="00F130E0">
      <w:pPr>
        <w:pStyle w:val="Paragrafoelenco"/>
        <w:jc w:val="both"/>
        <w:rPr>
          <w:rFonts w:ascii="Verdana" w:hAnsi="Verdana"/>
          <w:iCs/>
          <w:sz w:val="20"/>
          <w:szCs w:val="20"/>
        </w:rPr>
      </w:pPr>
    </w:p>
    <w:p w14:paraId="72F8D7A4" w14:textId="77777777" w:rsidR="00F130E0" w:rsidRDefault="00A525A7">
      <w:pPr>
        <w:pStyle w:val="Paragrafoelenco"/>
        <w:numPr>
          <w:ilvl w:val="0"/>
          <w:numId w:val="3"/>
        </w:numPr>
        <w:jc w:val="both"/>
      </w:pPr>
      <w:r>
        <w:rPr>
          <w:rFonts w:ascii="Verdana" w:hAnsi="Verdana"/>
          <w:color w:val="000000"/>
          <w:sz w:val="20"/>
          <w:szCs w:val="20"/>
        </w:rPr>
        <w:lastRenderedPageBreak/>
        <w:t>definizione della richiesta di eventuali ulteriori informazioni/chiarimenti sulle progettualità e valutazione della suddetta documentazione;</w:t>
      </w:r>
    </w:p>
    <w:p w14:paraId="4F75A1E4" w14:textId="77777777" w:rsidR="00F130E0" w:rsidRDefault="00F130E0">
      <w:pPr>
        <w:pStyle w:val="Paragrafoelenco"/>
        <w:jc w:val="both"/>
        <w:rPr>
          <w:rFonts w:ascii="Verdana" w:hAnsi="Verdana"/>
          <w:iCs/>
          <w:sz w:val="20"/>
          <w:szCs w:val="20"/>
        </w:rPr>
      </w:pPr>
    </w:p>
    <w:p w14:paraId="6ED096A5" w14:textId="77777777" w:rsidR="00F130E0" w:rsidRDefault="00A525A7">
      <w:pPr>
        <w:pStyle w:val="Paragrafoelenco"/>
        <w:numPr>
          <w:ilvl w:val="0"/>
          <w:numId w:val="3"/>
        </w:numPr>
        <w:jc w:val="both"/>
      </w:pPr>
      <w:r>
        <w:rPr>
          <w:rFonts w:ascii="Verdana" w:hAnsi="Verdana"/>
          <w:sz w:val="20"/>
          <w:szCs w:val="20"/>
        </w:rPr>
        <w:t>definizione del parere di approvazione o rigetto delle istanze pervenute;</w:t>
      </w:r>
    </w:p>
    <w:p w14:paraId="53302A95" w14:textId="77777777" w:rsidR="00F130E0" w:rsidRDefault="00F130E0">
      <w:pPr>
        <w:pStyle w:val="Paragrafoelenco"/>
        <w:jc w:val="both"/>
        <w:rPr>
          <w:rFonts w:ascii="Verdana" w:hAnsi="Verdana"/>
          <w:iCs/>
          <w:sz w:val="20"/>
          <w:szCs w:val="20"/>
        </w:rPr>
      </w:pPr>
    </w:p>
    <w:p w14:paraId="79DE6CAB" w14:textId="77777777" w:rsidR="00F130E0" w:rsidRDefault="00A525A7">
      <w:pPr>
        <w:pStyle w:val="Paragrafoelenco"/>
        <w:numPr>
          <w:ilvl w:val="0"/>
          <w:numId w:val="3"/>
        </w:numPr>
        <w:jc w:val="both"/>
      </w:pPr>
      <w:r>
        <w:rPr>
          <w:rFonts w:ascii="Verdana" w:hAnsi="Verdana"/>
          <w:sz w:val="20"/>
          <w:szCs w:val="20"/>
        </w:rPr>
        <w:t xml:space="preserve">valutazione delle eventuali richieste di riesame delle domande e </w:t>
      </w:r>
      <w:r>
        <w:rPr>
          <w:rFonts w:ascii="Verdana" w:hAnsi="Verdana"/>
          <w:color w:val="000000"/>
          <w:sz w:val="20"/>
          <w:szCs w:val="20"/>
        </w:rPr>
        <w:t>condivisione delle conseguenti decisioni e risposte da predisporre;</w:t>
      </w:r>
    </w:p>
    <w:p w14:paraId="64FBD474" w14:textId="77777777" w:rsidR="00F130E0" w:rsidRDefault="00F130E0">
      <w:pPr>
        <w:pStyle w:val="Paragrafoelenco"/>
        <w:jc w:val="both"/>
        <w:rPr>
          <w:rFonts w:ascii="Verdana" w:hAnsi="Verdana"/>
          <w:iCs/>
          <w:sz w:val="20"/>
          <w:szCs w:val="20"/>
        </w:rPr>
      </w:pPr>
    </w:p>
    <w:p w14:paraId="2C125B8E" w14:textId="77777777" w:rsidR="00F130E0" w:rsidRDefault="00A525A7">
      <w:pPr>
        <w:pStyle w:val="Paragrafoelenco"/>
        <w:numPr>
          <w:ilvl w:val="0"/>
          <w:numId w:val="3"/>
        </w:numPr>
        <w:jc w:val="both"/>
      </w:pPr>
      <w:r>
        <w:rPr>
          <w:rFonts w:ascii="Verdana" w:hAnsi="Verdana"/>
          <w:sz w:val="20"/>
          <w:szCs w:val="20"/>
        </w:rPr>
        <w:t>ogni altra attività connessa e riconducibile alle modalità di valutazione delle domande, così come previsto dal preavviso del Bando, ed eventuale supporto nel caso di specifiche criticità o necessità di chiarimenti in relazione ai giudizi espressi dal Comitato;</w:t>
      </w:r>
    </w:p>
    <w:p w14:paraId="574F2243" w14:textId="77777777" w:rsidR="00F130E0" w:rsidRDefault="00F130E0">
      <w:pPr>
        <w:pStyle w:val="Paragrafoelenco"/>
        <w:jc w:val="both"/>
        <w:rPr>
          <w:rFonts w:ascii="Verdana" w:hAnsi="Verdana"/>
          <w:iCs/>
          <w:sz w:val="20"/>
          <w:szCs w:val="20"/>
        </w:rPr>
      </w:pPr>
    </w:p>
    <w:p w14:paraId="11E24FB7" w14:textId="77777777" w:rsidR="00F130E0" w:rsidRDefault="00A525A7">
      <w:pPr>
        <w:pStyle w:val="Paragrafoelenco"/>
        <w:numPr>
          <w:ilvl w:val="0"/>
          <w:numId w:val="3"/>
        </w:numPr>
        <w:jc w:val="both"/>
      </w:pPr>
      <w:r>
        <w:rPr>
          <w:rFonts w:ascii="Verdana" w:hAnsi="Verdana"/>
          <w:iCs/>
          <w:sz w:val="20"/>
          <w:szCs w:val="20"/>
        </w:rPr>
        <w:t>valutazione di eventuali richieste di variazione progettuale.</w:t>
      </w:r>
    </w:p>
    <w:p w14:paraId="3218DE1F" w14:textId="77777777" w:rsidR="00F130E0" w:rsidRDefault="00F130E0">
      <w:pPr>
        <w:pStyle w:val="Paragrafoelenco"/>
        <w:ind w:left="1440"/>
        <w:jc w:val="both"/>
        <w:rPr>
          <w:rFonts w:ascii="Verdana" w:hAnsi="Verdana"/>
          <w:iCs/>
          <w:sz w:val="20"/>
          <w:szCs w:val="20"/>
        </w:rPr>
      </w:pPr>
    </w:p>
    <w:p w14:paraId="7F0E1F67" w14:textId="77777777" w:rsidR="00F130E0" w:rsidRDefault="00A525A7">
      <w:pPr>
        <w:pStyle w:val="Titolo2"/>
        <w:spacing w:after="200" w:line="276" w:lineRule="auto"/>
        <w:jc w:val="both"/>
      </w:pPr>
      <w:r>
        <w:rPr>
          <w:rFonts w:ascii="Verdana" w:eastAsia="Times New Roman" w:hAnsi="Verdana" w:cs="Arial"/>
          <w:b/>
          <w:bCs/>
          <w:color w:val="auto"/>
          <w:sz w:val="20"/>
          <w:szCs w:val="20"/>
          <w:lang w:eastAsia="it-IT"/>
        </w:rPr>
        <w:t>2. Requisiti:</w:t>
      </w:r>
    </w:p>
    <w:p w14:paraId="5BD7B1F2" w14:textId="77777777" w:rsidR="00F130E0" w:rsidRDefault="00A525A7">
      <w:pPr>
        <w:pStyle w:val="Standard"/>
        <w:jc w:val="both"/>
      </w:pPr>
      <w:r>
        <w:rPr>
          <w:rFonts w:ascii="Verdana" w:hAnsi="Verdana"/>
          <w:sz w:val="20"/>
          <w:szCs w:val="20"/>
        </w:rPr>
        <w:t>Sono ammessi alla selezione esclusivamente i candidati in possesso dei seguenti requisiti:</w:t>
      </w:r>
    </w:p>
    <w:p w14:paraId="7CD270BE" w14:textId="77777777" w:rsidR="00F130E0" w:rsidRDefault="00A525A7">
      <w:pPr>
        <w:pStyle w:val="Standard"/>
        <w:numPr>
          <w:ilvl w:val="0"/>
          <w:numId w:val="20"/>
        </w:numPr>
        <w:spacing w:after="200" w:line="276" w:lineRule="auto"/>
        <w:jc w:val="both"/>
      </w:pPr>
      <w:r>
        <w:rPr>
          <w:rFonts w:ascii="Verdana" w:hAnsi="Verdana"/>
          <w:sz w:val="20"/>
          <w:szCs w:val="20"/>
        </w:rPr>
        <w:t>laurea magistrale o equipollente in discipline STEM o economico-finanziarie;</w:t>
      </w:r>
    </w:p>
    <w:p w14:paraId="303C3571" w14:textId="77777777" w:rsidR="00F130E0" w:rsidRDefault="00A525A7">
      <w:pPr>
        <w:pStyle w:val="Standard"/>
        <w:numPr>
          <w:ilvl w:val="0"/>
          <w:numId w:val="4"/>
        </w:numPr>
        <w:spacing w:after="200" w:line="276" w:lineRule="auto"/>
        <w:jc w:val="both"/>
      </w:pPr>
      <w:r>
        <w:rPr>
          <w:rFonts w:ascii="Verdana" w:hAnsi="Verdana"/>
          <w:sz w:val="20"/>
          <w:szCs w:val="20"/>
        </w:rPr>
        <w:t xml:space="preserve">comprovata </w:t>
      </w:r>
      <w:proofErr w:type="gramStart"/>
      <w:r>
        <w:rPr>
          <w:rFonts w:ascii="Verdana" w:hAnsi="Verdana"/>
          <w:sz w:val="20"/>
          <w:szCs w:val="20"/>
        </w:rPr>
        <w:t>e</w:t>
      </w:r>
      <w:proofErr w:type="gramEnd"/>
      <w:r>
        <w:rPr>
          <w:rFonts w:ascii="Verdana" w:hAnsi="Verdana"/>
          <w:sz w:val="20"/>
          <w:szCs w:val="20"/>
        </w:rPr>
        <w:t xml:space="preserve"> qualificata esperienza pluriennale in almeno uno seguenti ambiti: investimenti produttivi, investimenti di re-</w:t>
      </w:r>
      <w:proofErr w:type="spellStart"/>
      <w:r>
        <w:rPr>
          <w:rFonts w:ascii="Verdana" w:hAnsi="Verdana"/>
          <w:sz w:val="20"/>
          <w:szCs w:val="20"/>
        </w:rPr>
        <w:t>shoring</w:t>
      </w:r>
      <w:proofErr w:type="spellEnd"/>
      <w:r>
        <w:rPr>
          <w:rFonts w:ascii="Verdana" w:hAnsi="Verdana"/>
          <w:sz w:val="20"/>
          <w:szCs w:val="20"/>
        </w:rPr>
        <w:t>, investimenti finalizzati alla diversificazione di processo/prodotto/servizio</w:t>
      </w:r>
      <w:r>
        <w:t xml:space="preserve">;  </w:t>
      </w:r>
    </w:p>
    <w:p w14:paraId="10DAF2D1" w14:textId="77777777" w:rsidR="00F130E0" w:rsidRDefault="00A525A7">
      <w:pPr>
        <w:pStyle w:val="Standard"/>
        <w:numPr>
          <w:ilvl w:val="0"/>
          <w:numId w:val="4"/>
        </w:numPr>
        <w:spacing w:after="200" w:line="276" w:lineRule="auto"/>
        <w:jc w:val="both"/>
      </w:pPr>
      <w:r w:rsidRPr="00A525A7">
        <w:rPr>
          <w:rFonts w:ascii="Verdana" w:hAnsi="Verdana"/>
          <w:sz w:val="20"/>
          <w:szCs w:val="20"/>
        </w:rPr>
        <w:t>cono</w:t>
      </w:r>
      <w:r w:rsidR="002E66E9" w:rsidRPr="00A525A7">
        <w:rPr>
          <w:rFonts w:ascii="Verdana" w:hAnsi="Verdana"/>
          <w:sz w:val="20"/>
          <w:szCs w:val="20"/>
        </w:rPr>
        <w:t>scenza delle norme nazionali, d</w:t>
      </w:r>
      <w:r w:rsidRPr="00A525A7">
        <w:rPr>
          <w:rFonts w:ascii="Verdana" w:hAnsi="Verdana"/>
          <w:sz w:val="20"/>
          <w:szCs w:val="20"/>
        </w:rPr>
        <w:t>ei Regolamenti comunitari e della programmazione delle politiche relativ</w:t>
      </w:r>
      <w:r w:rsidR="002E66E9" w:rsidRPr="00A525A7">
        <w:rPr>
          <w:rFonts w:ascii="Verdana" w:hAnsi="Verdana"/>
          <w:sz w:val="20"/>
          <w:szCs w:val="20"/>
        </w:rPr>
        <w:t>i</w:t>
      </w:r>
      <w:r w:rsidRPr="00A525A7">
        <w:rPr>
          <w:rFonts w:ascii="Verdana" w:hAnsi="Verdana"/>
          <w:sz w:val="20"/>
          <w:szCs w:val="20"/>
        </w:rPr>
        <w:t xml:space="preserve"> ad ambiente, svil</w:t>
      </w:r>
      <w:r w:rsidR="002E66E9" w:rsidRPr="00A525A7">
        <w:rPr>
          <w:rFonts w:ascii="Verdana" w:hAnsi="Verdana"/>
          <w:sz w:val="20"/>
          <w:szCs w:val="20"/>
        </w:rPr>
        <w:t xml:space="preserve">uppo e transizione sostenibile, </w:t>
      </w:r>
      <w:r w:rsidRPr="00A525A7">
        <w:rPr>
          <w:rFonts w:ascii="Verdana" w:hAnsi="Verdana"/>
          <w:sz w:val="20"/>
          <w:szCs w:val="20"/>
        </w:rPr>
        <w:t xml:space="preserve">della legislazione ambientale applicabile alle attività economiche, ai prodotti, nonché delle certificazioni energetiche e ambientali e delle eco etichette (anche </w:t>
      </w:r>
      <w:r>
        <w:rPr>
          <w:rFonts w:ascii="Verdana" w:hAnsi="Verdana"/>
          <w:sz w:val="20"/>
          <w:szCs w:val="20"/>
        </w:rPr>
        <w:t>eventualmente in materia edilizia);</w:t>
      </w:r>
    </w:p>
    <w:p w14:paraId="3AA1E955" w14:textId="77777777" w:rsidR="00F130E0" w:rsidRDefault="00A525A7">
      <w:pPr>
        <w:pStyle w:val="Standard"/>
        <w:numPr>
          <w:ilvl w:val="0"/>
          <w:numId w:val="4"/>
        </w:numPr>
        <w:spacing w:after="200" w:line="276" w:lineRule="auto"/>
        <w:jc w:val="both"/>
      </w:pPr>
      <w:r>
        <w:rPr>
          <w:rFonts w:ascii="Verdana" w:hAnsi="Verdana"/>
          <w:sz w:val="20"/>
          <w:szCs w:val="20"/>
        </w:rPr>
        <w:t>pregressa esperienza in qualità di membro di commissioni di iniziative pubbliche e/o private in relazione al precedente punto 2;</w:t>
      </w:r>
    </w:p>
    <w:p w14:paraId="70813E90" w14:textId="77777777" w:rsidR="00F130E0" w:rsidRDefault="00A525A7">
      <w:pPr>
        <w:pStyle w:val="Standard"/>
        <w:numPr>
          <w:ilvl w:val="0"/>
          <w:numId w:val="4"/>
        </w:numPr>
        <w:spacing w:after="200" w:line="276" w:lineRule="auto"/>
        <w:jc w:val="both"/>
      </w:pPr>
      <w:r>
        <w:rPr>
          <w:rFonts w:ascii="Verdana" w:hAnsi="Verdana"/>
          <w:sz w:val="20"/>
          <w:szCs w:val="20"/>
        </w:rPr>
        <w:t>assenza di condanne, anche con sentenza non passata in giudicato, per i reati previsti nel capo I del titolo II del libro secondo del codice penale (“</w:t>
      </w:r>
      <w:r>
        <w:rPr>
          <w:rFonts w:ascii="Verdana" w:hAnsi="Verdana"/>
          <w:i/>
          <w:sz w:val="20"/>
          <w:szCs w:val="20"/>
        </w:rPr>
        <w:t>Dei delitti dei pubblici ufficiali contro la Pubblica Amministrazione</w:t>
      </w:r>
      <w:r>
        <w:rPr>
          <w:rFonts w:ascii="Verdana" w:hAnsi="Verdana"/>
          <w:sz w:val="20"/>
          <w:szCs w:val="20"/>
        </w:rPr>
        <w:t xml:space="preserve">”), ai sensi e per gli effetti dell’art. 35-bis del </w:t>
      </w:r>
      <w:proofErr w:type="spellStart"/>
      <w:proofErr w:type="gramStart"/>
      <w:r>
        <w:rPr>
          <w:rFonts w:ascii="Verdana" w:hAnsi="Verdana"/>
          <w:sz w:val="20"/>
          <w:szCs w:val="20"/>
        </w:rPr>
        <w:t>D.Lgs</w:t>
      </w:r>
      <w:proofErr w:type="gramEnd"/>
      <w:r>
        <w:rPr>
          <w:rFonts w:ascii="Verdana" w:hAnsi="Verdana"/>
          <w:sz w:val="20"/>
          <w:szCs w:val="20"/>
        </w:rPr>
        <w:t>.</w:t>
      </w:r>
      <w:proofErr w:type="spellEnd"/>
      <w:r>
        <w:rPr>
          <w:rFonts w:ascii="Verdana" w:hAnsi="Verdana"/>
          <w:sz w:val="20"/>
          <w:szCs w:val="20"/>
        </w:rPr>
        <w:t xml:space="preserve"> 165/2001 “</w:t>
      </w:r>
      <w:r>
        <w:rPr>
          <w:rFonts w:ascii="Verdana" w:hAnsi="Verdana"/>
          <w:i/>
          <w:sz w:val="20"/>
          <w:szCs w:val="20"/>
        </w:rPr>
        <w:t>Prevenzione del fenomeno della corruzione nella formazione di commissioni e nelle assegnazioni agli uffici</w:t>
      </w:r>
      <w:r>
        <w:rPr>
          <w:rFonts w:ascii="Verdana" w:hAnsi="Verdana"/>
          <w:sz w:val="20"/>
          <w:szCs w:val="20"/>
        </w:rPr>
        <w:t xml:space="preserve">”, introdotto dalla Legge n. 190/2012, nonché delle cause ostative ai sensi dell’art. 80 del </w:t>
      </w:r>
      <w:r>
        <w:rPr>
          <w:rFonts w:ascii="Verdana" w:hAnsi="Verdana" w:cs="Calibri"/>
          <w:sz w:val="20"/>
          <w:szCs w:val="20"/>
        </w:rPr>
        <w:t xml:space="preserve">D. </w:t>
      </w:r>
      <w:proofErr w:type="spellStart"/>
      <w:r>
        <w:rPr>
          <w:rFonts w:ascii="Verdana" w:hAnsi="Verdana" w:cs="Calibri"/>
          <w:sz w:val="20"/>
          <w:szCs w:val="20"/>
        </w:rPr>
        <w:t>Lgs</w:t>
      </w:r>
      <w:proofErr w:type="spellEnd"/>
      <w:r>
        <w:rPr>
          <w:rFonts w:ascii="Verdana" w:hAnsi="Verdana" w:cs="Calibri"/>
          <w:sz w:val="20"/>
          <w:szCs w:val="20"/>
        </w:rPr>
        <w:t xml:space="preserve"> n.50/2016</w:t>
      </w:r>
      <w:r>
        <w:rPr>
          <w:rFonts w:ascii="Verdana" w:hAnsi="Verdana"/>
          <w:sz w:val="20"/>
          <w:szCs w:val="20"/>
        </w:rPr>
        <w:t>.</w:t>
      </w:r>
    </w:p>
    <w:p w14:paraId="294A0E9A" w14:textId="77777777" w:rsidR="00F130E0" w:rsidRDefault="00F130E0">
      <w:pPr>
        <w:pStyle w:val="Standard"/>
        <w:spacing w:after="200" w:line="276" w:lineRule="auto"/>
        <w:ind w:left="720"/>
        <w:jc w:val="both"/>
        <w:rPr>
          <w:rFonts w:ascii="Verdana" w:hAnsi="Verdana"/>
          <w:sz w:val="20"/>
          <w:szCs w:val="20"/>
        </w:rPr>
      </w:pPr>
    </w:p>
    <w:p w14:paraId="191F0031" w14:textId="77777777" w:rsidR="00F130E0" w:rsidRDefault="00A525A7">
      <w:pPr>
        <w:pStyle w:val="Titolo2"/>
        <w:spacing w:after="200" w:line="276" w:lineRule="auto"/>
        <w:jc w:val="both"/>
      </w:pPr>
      <w:r>
        <w:rPr>
          <w:rFonts w:ascii="Verdana" w:eastAsia="Times New Roman" w:hAnsi="Verdana" w:cs="Arial"/>
          <w:b/>
          <w:bCs/>
          <w:color w:val="auto"/>
          <w:sz w:val="20"/>
          <w:szCs w:val="20"/>
          <w:lang w:eastAsia="it-IT"/>
        </w:rPr>
        <w:lastRenderedPageBreak/>
        <w:t>3. Durata dell’incarico</w:t>
      </w:r>
    </w:p>
    <w:p w14:paraId="55570DE6" w14:textId="77777777" w:rsidR="00F130E0" w:rsidRDefault="00A525A7">
      <w:pPr>
        <w:pStyle w:val="Textbodyindent"/>
        <w:spacing w:after="200" w:line="276" w:lineRule="auto"/>
        <w:ind w:left="0"/>
        <w:jc w:val="both"/>
      </w:pPr>
      <w:r>
        <w:rPr>
          <w:rFonts w:ascii="Verdana" w:hAnsi="Verdana" w:cs="Arial"/>
          <w:sz w:val="20"/>
          <w:szCs w:val="20"/>
        </w:rPr>
        <w:t>La collaborazione ha durata fino al 31.12.2029, eventualmente prorogabile in funzione delle residue attività da svolgere, fermo restando l’obbligo di espletare per singola domanda tutte le attività previste nel paragrafo “Oggetto dell’incarico”, le quali potranno avere termine di conclusione successivo alla data sopra indicata.</w:t>
      </w:r>
    </w:p>
    <w:p w14:paraId="07BD0FF1" w14:textId="77777777" w:rsidR="00F130E0" w:rsidRDefault="00A525A7">
      <w:pPr>
        <w:pStyle w:val="Textbodyindent"/>
        <w:spacing w:after="200" w:line="276" w:lineRule="auto"/>
        <w:ind w:left="0"/>
        <w:jc w:val="both"/>
      </w:pPr>
      <w:r>
        <w:rPr>
          <w:rFonts w:ascii="Verdana" w:hAnsi="Verdana" w:cs="Arial"/>
          <w:sz w:val="20"/>
          <w:szCs w:val="20"/>
        </w:rPr>
        <w:t>Finpiemonte si riserva, inoltre, la facoltà di rinnovare la collaborazione oggetto del presente Avviso, qualora la Regione Piemonte attivasse sulla stessa misura ulteriori sportelli.</w:t>
      </w:r>
    </w:p>
    <w:p w14:paraId="7B194CCA" w14:textId="77777777" w:rsidR="00F130E0" w:rsidRDefault="00F130E0">
      <w:pPr>
        <w:pStyle w:val="Textbodyindent"/>
        <w:spacing w:after="200" w:line="276" w:lineRule="auto"/>
        <w:ind w:left="0"/>
        <w:jc w:val="both"/>
      </w:pPr>
    </w:p>
    <w:p w14:paraId="14A3E316" w14:textId="77777777" w:rsidR="00F130E0" w:rsidRDefault="00A525A7">
      <w:pPr>
        <w:pStyle w:val="Titolo2"/>
        <w:spacing w:after="200" w:line="276" w:lineRule="auto"/>
        <w:jc w:val="both"/>
      </w:pPr>
      <w:r>
        <w:rPr>
          <w:rFonts w:ascii="Verdana" w:eastAsia="Times New Roman" w:hAnsi="Verdana" w:cs="Arial"/>
          <w:b/>
          <w:bCs/>
          <w:color w:val="auto"/>
          <w:sz w:val="20"/>
          <w:szCs w:val="20"/>
          <w:lang w:eastAsia="it-IT"/>
        </w:rPr>
        <w:t>4. Modalità di espletamento dell’incarico</w:t>
      </w:r>
    </w:p>
    <w:p w14:paraId="6E4B86A6" w14:textId="77777777" w:rsidR="00F130E0" w:rsidRDefault="00A525A7">
      <w:pPr>
        <w:pStyle w:val="Textbodyindent"/>
        <w:spacing w:after="200" w:line="276" w:lineRule="auto"/>
        <w:ind w:left="0"/>
        <w:jc w:val="both"/>
      </w:pPr>
      <w:r>
        <w:rPr>
          <w:rFonts w:ascii="Verdana" w:hAnsi="Verdana" w:cs="Arial"/>
          <w:sz w:val="20"/>
          <w:szCs w:val="20"/>
        </w:rPr>
        <w:t>Le modalità di svolgimento dell’incarico saranno regolate da apposito contratto stipulato dalle parti in conformità alle disposizioni del Bando e ai Regolamenti interni di Finpiemonte.</w:t>
      </w:r>
    </w:p>
    <w:p w14:paraId="62798F54" w14:textId="77777777" w:rsidR="00F130E0" w:rsidRDefault="00F130E0">
      <w:pPr>
        <w:pStyle w:val="Standard"/>
        <w:spacing w:after="200" w:line="276" w:lineRule="auto"/>
        <w:jc w:val="both"/>
        <w:rPr>
          <w:rFonts w:ascii="Verdana" w:hAnsi="Verdana" w:cs="Arial"/>
          <w:sz w:val="20"/>
          <w:szCs w:val="20"/>
        </w:rPr>
      </w:pPr>
    </w:p>
    <w:p w14:paraId="6C7C81A0" w14:textId="77777777" w:rsidR="00F130E0" w:rsidRDefault="00A525A7">
      <w:pPr>
        <w:pStyle w:val="Titolo4"/>
        <w:spacing w:after="200" w:line="276" w:lineRule="auto"/>
        <w:jc w:val="both"/>
      </w:pPr>
      <w:r>
        <w:rPr>
          <w:rFonts w:ascii="Verdana" w:eastAsia="Times New Roman" w:hAnsi="Verdana" w:cs="Arial"/>
          <w:b/>
          <w:bCs/>
          <w:i w:val="0"/>
          <w:iCs w:val="0"/>
          <w:color w:val="auto"/>
          <w:sz w:val="20"/>
          <w:szCs w:val="20"/>
          <w:lang w:eastAsia="it-IT"/>
        </w:rPr>
        <w:t>5. Luogo di lavoro</w:t>
      </w:r>
    </w:p>
    <w:p w14:paraId="7F85B77B" w14:textId="77777777" w:rsidR="00F130E0" w:rsidRDefault="00A525A7">
      <w:pPr>
        <w:pStyle w:val="Textbodyindent"/>
        <w:spacing w:line="276" w:lineRule="auto"/>
        <w:ind w:left="0"/>
        <w:jc w:val="both"/>
      </w:pPr>
      <w:r>
        <w:rPr>
          <w:rFonts w:ascii="Verdana" w:hAnsi="Verdana" w:cs="Arial"/>
          <w:sz w:val="20"/>
          <w:szCs w:val="20"/>
        </w:rPr>
        <w:t>L’attività sarà svolta tramite incontri periodici in presenza e/o virtuali del Comitato di Valutazione, che saranno programmati da Finpiemonte in relazione al numero di domande pervenute e all’avanzamento delle attività previste dal Bando.</w:t>
      </w:r>
    </w:p>
    <w:p w14:paraId="47DCDA4D" w14:textId="77777777" w:rsidR="00F130E0" w:rsidRDefault="00F130E0">
      <w:pPr>
        <w:pStyle w:val="Textbodyindent"/>
        <w:spacing w:line="276" w:lineRule="auto"/>
        <w:ind w:left="0"/>
        <w:jc w:val="both"/>
        <w:rPr>
          <w:rFonts w:ascii="Verdana" w:hAnsi="Verdana" w:cs="Arial"/>
          <w:sz w:val="20"/>
          <w:szCs w:val="20"/>
        </w:rPr>
      </w:pPr>
    </w:p>
    <w:p w14:paraId="7EAF961C" w14:textId="77777777" w:rsidR="00F130E0" w:rsidRDefault="00A525A7">
      <w:pPr>
        <w:pStyle w:val="Textbodyindent"/>
        <w:spacing w:line="276" w:lineRule="auto"/>
        <w:ind w:left="0"/>
        <w:jc w:val="both"/>
      </w:pPr>
      <w:r>
        <w:rPr>
          <w:rFonts w:ascii="Verdana" w:hAnsi="Verdana" w:cs="Arial"/>
          <w:sz w:val="20"/>
          <w:szCs w:val="20"/>
        </w:rPr>
        <w:t>Gli incontri in presenza si svolgeranno presso gli uffici di Finpiemonte e/o della Direzione Regionale Competitività del Sistema Regionale.</w:t>
      </w:r>
    </w:p>
    <w:p w14:paraId="311E9DB8" w14:textId="77777777" w:rsidR="00F130E0" w:rsidRDefault="00F130E0">
      <w:pPr>
        <w:pStyle w:val="Textbodyindent"/>
        <w:spacing w:line="276" w:lineRule="auto"/>
        <w:ind w:left="0"/>
        <w:jc w:val="both"/>
        <w:rPr>
          <w:rFonts w:ascii="Verdana" w:hAnsi="Verdana" w:cs="Arial"/>
          <w:sz w:val="20"/>
          <w:szCs w:val="20"/>
        </w:rPr>
      </w:pPr>
    </w:p>
    <w:p w14:paraId="7E9564E5" w14:textId="77777777" w:rsidR="00F130E0" w:rsidRDefault="00A525A7">
      <w:pPr>
        <w:pStyle w:val="Textbodyindent"/>
        <w:spacing w:line="276" w:lineRule="auto"/>
        <w:ind w:left="0"/>
        <w:jc w:val="both"/>
      </w:pPr>
      <w:r>
        <w:rPr>
          <w:rFonts w:ascii="Verdana" w:hAnsi="Verdana" w:cs="Arial"/>
          <w:sz w:val="20"/>
          <w:szCs w:val="20"/>
        </w:rPr>
        <w:t>È richiesta piena disponibilità ad essere presente a tutti gli incontri (siano essi in presenza o virtuali) del Comitato di Valutazione secondo la periodicità stabilita.</w:t>
      </w:r>
    </w:p>
    <w:p w14:paraId="444CA937" w14:textId="77777777" w:rsidR="00F130E0" w:rsidRDefault="00F130E0">
      <w:pPr>
        <w:pStyle w:val="Textbodyindent"/>
        <w:spacing w:line="276" w:lineRule="auto"/>
        <w:ind w:left="0"/>
        <w:jc w:val="both"/>
        <w:rPr>
          <w:rFonts w:ascii="Verdana" w:hAnsi="Verdana" w:cs="Arial"/>
          <w:sz w:val="20"/>
          <w:szCs w:val="20"/>
        </w:rPr>
      </w:pPr>
    </w:p>
    <w:p w14:paraId="4C047EEB" w14:textId="77777777" w:rsidR="00F130E0" w:rsidRDefault="00A525A7">
      <w:pPr>
        <w:pStyle w:val="Textbodyindent"/>
        <w:spacing w:line="276" w:lineRule="auto"/>
        <w:ind w:left="0"/>
        <w:jc w:val="both"/>
      </w:pPr>
      <w:r>
        <w:rPr>
          <w:rFonts w:ascii="Verdana" w:hAnsi="Verdana" w:cs="Arial"/>
          <w:sz w:val="20"/>
          <w:szCs w:val="20"/>
        </w:rPr>
        <w:t xml:space="preserve">A complemento e in preparazione degli incontri, l’attività prevede scambi documentali via mail o tramite sistemi di file </w:t>
      </w:r>
      <w:proofErr w:type="spellStart"/>
      <w:r>
        <w:rPr>
          <w:rFonts w:ascii="Verdana" w:hAnsi="Verdana" w:cs="Arial"/>
          <w:sz w:val="20"/>
          <w:szCs w:val="20"/>
        </w:rPr>
        <w:t>sharing</w:t>
      </w:r>
      <w:proofErr w:type="spellEnd"/>
      <w:r>
        <w:rPr>
          <w:rFonts w:ascii="Verdana" w:hAnsi="Verdana" w:cs="Arial"/>
          <w:sz w:val="20"/>
          <w:szCs w:val="20"/>
        </w:rPr>
        <w:t>.</w:t>
      </w:r>
    </w:p>
    <w:p w14:paraId="6385D257" w14:textId="77777777" w:rsidR="00F130E0" w:rsidRDefault="00F130E0">
      <w:pPr>
        <w:pStyle w:val="Standard"/>
        <w:spacing w:after="200" w:line="276" w:lineRule="auto"/>
        <w:jc w:val="both"/>
        <w:rPr>
          <w:rFonts w:ascii="Verdana" w:hAnsi="Verdana" w:cs="Arial"/>
          <w:b/>
          <w:bCs/>
          <w:sz w:val="20"/>
          <w:szCs w:val="20"/>
        </w:rPr>
      </w:pPr>
    </w:p>
    <w:p w14:paraId="1FE32CB3" w14:textId="77777777" w:rsidR="00F130E0" w:rsidRDefault="00A525A7">
      <w:pPr>
        <w:pStyle w:val="Titolo2"/>
        <w:spacing w:after="200" w:line="276" w:lineRule="auto"/>
        <w:jc w:val="both"/>
      </w:pPr>
      <w:r>
        <w:rPr>
          <w:rFonts w:ascii="Verdana" w:eastAsia="Times New Roman" w:hAnsi="Verdana" w:cs="Arial"/>
          <w:b/>
          <w:bCs/>
          <w:color w:val="000000"/>
          <w:sz w:val="20"/>
          <w:szCs w:val="20"/>
          <w:lang w:eastAsia="it-IT"/>
        </w:rPr>
        <w:t>6. Compenso</w:t>
      </w:r>
    </w:p>
    <w:p w14:paraId="69368161" w14:textId="58E9353A" w:rsidR="00F130E0" w:rsidRDefault="00A525A7">
      <w:pPr>
        <w:pStyle w:val="Documento"/>
        <w:spacing w:line="360" w:lineRule="auto"/>
      </w:pPr>
      <w:r>
        <w:rPr>
          <w:rFonts w:ascii="Verdana" w:hAnsi="Verdana" w:cs="Calibri"/>
          <w:sz w:val="20"/>
        </w:rPr>
        <w:t xml:space="preserve">Finpiemonte corrisponderà al valutatore, per tutte le attività svolte in relazione a ciascuna domanda di agevolazione, un compenso complessivo pari a </w:t>
      </w:r>
      <w:r w:rsidRPr="00D35011">
        <w:rPr>
          <w:rFonts w:ascii="Verdana" w:hAnsi="Verdana" w:cs="Calibri"/>
          <w:sz w:val="20"/>
        </w:rPr>
        <w:t>€ 400</w:t>
      </w:r>
      <w:r>
        <w:rPr>
          <w:rFonts w:ascii="Verdana" w:hAnsi="Verdana" w:cs="Calibri"/>
          <w:sz w:val="20"/>
        </w:rPr>
        <w:t xml:space="preserve"> </w:t>
      </w:r>
      <w:r w:rsidR="00995EBC" w:rsidRPr="00995EBC">
        <w:rPr>
          <w:rFonts w:ascii="Verdana" w:hAnsi="Verdana" w:cs="Calibri"/>
          <w:sz w:val="20"/>
        </w:rPr>
        <w:t>IVA esclusa, comprensivo di oneri fiscali e previdenziali</w:t>
      </w:r>
      <w:r>
        <w:rPr>
          <w:rFonts w:ascii="Verdana" w:hAnsi="Verdana" w:cs="Calibri"/>
          <w:sz w:val="20"/>
        </w:rPr>
        <w:t>.</w:t>
      </w:r>
    </w:p>
    <w:p w14:paraId="6B0E4279" w14:textId="77777777" w:rsidR="00F130E0" w:rsidRDefault="00A525A7">
      <w:pPr>
        <w:pStyle w:val="Documento"/>
        <w:spacing w:line="360" w:lineRule="auto"/>
      </w:pPr>
      <w:r>
        <w:rPr>
          <w:rFonts w:ascii="Verdana" w:hAnsi="Verdana" w:cs="Calibri"/>
          <w:sz w:val="20"/>
        </w:rPr>
        <w:t>Il valutatore avrà diritto, inoltre, al rimborso delle spese di trasferta ragionevolmente sostenute per la partecipazione alle sedute in presenza del Comitato di Valutazione e dietro presentazione di idonei giustificativi, rimessi alla valutazione di Finpiemonte. Detto rimborso non potrà comunque essere superiore a Euro 500,00 per ciascun anno di espletamento dell’incarico.</w:t>
      </w:r>
    </w:p>
    <w:p w14:paraId="1D190CCD" w14:textId="241A1F7B" w:rsidR="00F130E0" w:rsidRDefault="00A525A7">
      <w:pPr>
        <w:pStyle w:val="Documento"/>
        <w:spacing w:line="360" w:lineRule="auto"/>
      </w:pPr>
      <w:r w:rsidRPr="00D35011">
        <w:rPr>
          <w:rFonts w:ascii="Verdana" w:hAnsi="Verdana" w:cs="Calibri"/>
          <w:sz w:val="20"/>
        </w:rPr>
        <w:t>L’importo complessivo massimo previsto per i compensi e le</w:t>
      </w:r>
      <w:r w:rsidR="00AE348A" w:rsidRPr="00D35011">
        <w:rPr>
          <w:rFonts w:ascii="Verdana" w:hAnsi="Verdana" w:cs="Calibri"/>
          <w:sz w:val="20"/>
        </w:rPr>
        <w:t xml:space="preserve"> spese di trasferta è pari ad € </w:t>
      </w:r>
      <w:r w:rsidR="006B5720">
        <w:rPr>
          <w:rFonts w:ascii="Verdana" w:hAnsi="Verdana" w:cs="Calibri"/>
          <w:sz w:val="20"/>
        </w:rPr>
        <w:t>22</w:t>
      </w:r>
      <w:r w:rsidR="0094029A" w:rsidRPr="00D35011">
        <w:rPr>
          <w:rFonts w:ascii="Verdana" w:hAnsi="Verdana" w:cs="Calibri"/>
          <w:sz w:val="20"/>
        </w:rPr>
        <w:t>.</w:t>
      </w:r>
      <w:r w:rsidR="006B5720">
        <w:rPr>
          <w:rFonts w:ascii="Verdana" w:hAnsi="Verdana" w:cs="Calibri"/>
          <w:sz w:val="20"/>
        </w:rPr>
        <w:t>4</w:t>
      </w:r>
      <w:r w:rsidR="0094029A" w:rsidRPr="00D35011">
        <w:rPr>
          <w:rFonts w:ascii="Verdana" w:hAnsi="Verdana" w:cs="Calibri"/>
          <w:sz w:val="20"/>
        </w:rPr>
        <w:t>00,00.</w:t>
      </w:r>
    </w:p>
    <w:p w14:paraId="650CDD3A" w14:textId="77777777" w:rsidR="00F130E0" w:rsidRDefault="00F130E0">
      <w:pPr>
        <w:pStyle w:val="Documento"/>
        <w:spacing w:line="360" w:lineRule="auto"/>
        <w:rPr>
          <w:rFonts w:ascii="Verdana" w:hAnsi="Verdana" w:cs="Calibri"/>
          <w:sz w:val="20"/>
        </w:rPr>
      </w:pPr>
    </w:p>
    <w:p w14:paraId="398FE239" w14:textId="77777777" w:rsidR="00F130E0" w:rsidRDefault="00A525A7">
      <w:pPr>
        <w:pStyle w:val="Documento"/>
        <w:spacing w:line="360" w:lineRule="auto"/>
      </w:pPr>
      <w:r>
        <w:rPr>
          <w:rFonts w:ascii="Verdana" w:hAnsi="Verdana" w:cs="Calibri"/>
          <w:sz w:val="20"/>
        </w:rPr>
        <w:lastRenderedPageBreak/>
        <w:t>Qualora il candidato sia collocato in quiescenza, in virtù di quanto previsto dall’art. 5, comma 9, del D.L. 6 luglio 2012, n. 95, “</w:t>
      </w:r>
      <w:r>
        <w:rPr>
          <w:rFonts w:ascii="Verdana" w:hAnsi="Verdana" w:cs="Calibri"/>
          <w:i/>
          <w:sz w:val="20"/>
        </w:rPr>
        <w:t>Disposizioni urgenti per la revisione della spesa pubblica con invarianza dei servizi ai cittadini nonché misure di rafforzamento patrimoniale delle imprese del settore bancario</w:t>
      </w:r>
      <w:r>
        <w:rPr>
          <w:rFonts w:ascii="Verdana" w:hAnsi="Verdana" w:cs="Calibri"/>
          <w:sz w:val="20"/>
        </w:rPr>
        <w:t xml:space="preserve">”, come da ultimo modificato ad opera del D.L. 90/2014, convertito con modificazioni dalla L. n. 114/2014, e </w:t>
      </w:r>
      <w:proofErr w:type="spellStart"/>
      <w:r>
        <w:rPr>
          <w:rFonts w:ascii="Verdana" w:hAnsi="Verdana" w:cs="Calibri"/>
          <w:sz w:val="20"/>
        </w:rPr>
        <w:t>s.m.i.</w:t>
      </w:r>
      <w:proofErr w:type="spellEnd"/>
      <w:r>
        <w:rPr>
          <w:rFonts w:ascii="Verdana" w:hAnsi="Verdana" w:cs="Calibri"/>
          <w:sz w:val="20"/>
        </w:rPr>
        <w:t>, nonché in virtù dell’art. 10 della Legge Regione Piemonte del 27 gennaio 2015, n. 1, l’incarico sarà attribuito a titolo gratuito, per cui non potrà essere riconosciuto alcun compenso, fatto salvo il rimborso di eventuali spese sostenute per la partecipazione alle riunioni del Comitato di Valutazione, debitamente documentate e rendicontate, e comunque per un importo non superiore ad euro 500,00 per ciascun anno di espletamento dell’incarico.</w:t>
      </w:r>
    </w:p>
    <w:p w14:paraId="5FE66A9D" w14:textId="77777777" w:rsidR="00F130E0" w:rsidRDefault="00F130E0">
      <w:pPr>
        <w:pStyle w:val="Titolo4"/>
        <w:spacing w:after="200" w:line="276" w:lineRule="auto"/>
        <w:jc w:val="both"/>
        <w:rPr>
          <w:rFonts w:ascii="Verdana" w:hAnsi="Verdana" w:cs="Arial"/>
          <w:sz w:val="20"/>
          <w:szCs w:val="20"/>
        </w:rPr>
      </w:pPr>
    </w:p>
    <w:p w14:paraId="2594F4EF" w14:textId="77777777" w:rsidR="00F130E0" w:rsidRDefault="00A525A7">
      <w:pPr>
        <w:pStyle w:val="Titolo4"/>
        <w:spacing w:after="200" w:line="276" w:lineRule="auto"/>
        <w:jc w:val="both"/>
      </w:pPr>
      <w:r>
        <w:rPr>
          <w:rFonts w:ascii="Verdana" w:eastAsia="Times New Roman" w:hAnsi="Verdana" w:cs="Arial"/>
          <w:b/>
          <w:bCs/>
          <w:i w:val="0"/>
          <w:iCs w:val="0"/>
          <w:color w:val="auto"/>
          <w:sz w:val="20"/>
          <w:szCs w:val="20"/>
          <w:lang w:eastAsia="it-IT"/>
        </w:rPr>
        <w:t>7. Modalità e termine di presentazione delle candidature</w:t>
      </w:r>
    </w:p>
    <w:p w14:paraId="5E853DE1" w14:textId="77777777" w:rsidR="00F130E0" w:rsidRDefault="00A525A7">
      <w:pPr>
        <w:pStyle w:val="Standard"/>
        <w:spacing w:after="200" w:line="276" w:lineRule="auto"/>
        <w:jc w:val="both"/>
      </w:pPr>
      <w:r>
        <w:rPr>
          <w:rFonts w:ascii="Verdana" w:hAnsi="Verdana" w:cs="Calibri"/>
          <w:sz w:val="20"/>
          <w:szCs w:val="20"/>
        </w:rPr>
        <w:t>Il candidato deve presentare:</w:t>
      </w:r>
    </w:p>
    <w:p w14:paraId="38A3BE66" w14:textId="77777777" w:rsidR="00F130E0" w:rsidRDefault="00A525A7">
      <w:pPr>
        <w:pStyle w:val="Standard"/>
        <w:spacing w:after="200" w:line="276" w:lineRule="auto"/>
        <w:jc w:val="both"/>
      </w:pPr>
      <w:r>
        <w:rPr>
          <w:rFonts w:ascii="Verdana" w:hAnsi="Verdana" w:cs="Calibri"/>
          <w:sz w:val="20"/>
          <w:szCs w:val="20"/>
        </w:rPr>
        <w:t xml:space="preserve">a) il </w:t>
      </w:r>
      <w:r>
        <w:rPr>
          <w:rFonts w:ascii="Verdana" w:hAnsi="Verdana" w:cs="Calibri"/>
          <w:i/>
          <w:sz w:val="20"/>
          <w:szCs w:val="20"/>
        </w:rPr>
        <w:t xml:space="preserve">curriculum </w:t>
      </w:r>
      <w:r>
        <w:rPr>
          <w:rFonts w:ascii="Verdana" w:hAnsi="Verdana" w:cs="Calibri"/>
          <w:sz w:val="20"/>
          <w:szCs w:val="20"/>
        </w:rPr>
        <w:t>opportunamente sottoscritto, completo di titoli ed esperienze professionali attestanti il possesso dei requisiti richiesti, redatto in italiano e contenente tutte le generalità dell’interessato e l’esplicito consenso al trattamento dei dati ai sensi del Regolamento Generale sulla protezione dei dati (RGPD n. 679/2016), compreso il trattamento di eventuali dati particolari;</w:t>
      </w:r>
    </w:p>
    <w:p w14:paraId="7CCC2AD7" w14:textId="77777777" w:rsidR="00F130E0" w:rsidRDefault="00A525A7">
      <w:pPr>
        <w:pStyle w:val="Standard"/>
        <w:spacing w:after="200" w:line="276" w:lineRule="auto"/>
        <w:jc w:val="both"/>
      </w:pPr>
      <w:r>
        <w:rPr>
          <w:rFonts w:ascii="Verdana" w:hAnsi="Verdana" w:cs="Calibri"/>
          <w:sz w:val="20"/>
          <w:szCs w:val="20"/>
        </w:rPr>
        <w:t xml:space="preserve">b) dichiarazione di non aver riportato condanne ai sensi e per gli effetti dell’art. 35-bis del </w:t>
      </w:r>
      <w:proofErr w:type="spellStart"/>
      <w:proofErr w:type="gramStart"/>
      <w:r>
        <w:rPr>
          <w:rFonts w:ascii="Verdana" w:hAnsi="Verdana" w:cs="Calibri"/>
          <w:sz w:val="20"/>
          <w:szCs w:val="20"/>
        </w:rPr>
        <w:t>D.Lgs</w:t>
      </w:r>
      <w:proofErr w:type="gramEnd"/>
      <w:r>
        <w:rPr>
          <w:rFonts w:ascii="Verdana" w:hAnsi="Verdana" w:cs="Calibri"/>
          <w:sz w:val="20"/>
          <w:szCs w:val="20"/>
        </w:rPr>
        <w:t>.</w:t>
      </w:r>
      <w:proofErr w:type="spellEnd"/>
      <w:r>
        <w:rPr>
          <w:rFonts w:ascii="Verdana" w:hAnsi="Verdana" w:cs="Calibri"/>
          <w:sz w:val="20"/>
          <w:szCs w:val="20"/>
        </w:rPr>
        <w:t xml:space="preserve"> n. 165/2001 ed insussistenza dei motivi di esclusione di cui agli artt. 94 e ss. del </w:t>
      </w:r>
      <w:proofErr w:type="spellStart"/>
      <w:proofErr w:type="gramStart"/>
      <w:r>
        <w:rPr>
          <w:rFonts w:ascii="Verdana" w:hAnsi="Verdana" w:cs="Calibri"/>
          <w:sz w:val="20"/>
          <w:szCs w:val="20"/>
        </w:rPr>
        <w:t>D.Lgs</w:t>
      </w:r>
      <w:proofErr w:type="spellEnd"/>
      <w:proofErr w:type="gramEnd"/>
      <w:r>
        <w:rPr>
          <w:rFonts w:ascii="Verdana" w:hAnsi="Verdana" w:cs="Calibri"/>
          <w:sz w:val="20"/>
          <w:szCs w:val="20"/>
        </w:rPr>
        <w:t xml:space="preserve"> n. 36/2023, secondo il modulo allegato al presente Avviso;</w:t>
      </w:r>
    </w:p>
    <w:p w14:paraId="3F946780" w14:textId="77777777" w:rsidR="00F130E0" w:rsidRDefault="00A525A7">
      <w:pPr>
        <w:pStyle w:val="Standard"/>
        <w:spacing w:after="200" w:line="276" w:lineRule="auto"/>
        <w:jc w:val="both"/>
      </w:pPr>
      <w:r>
        <w:rPr>
          <w:rFonts w:ascii="Verdana" w:hAnsi="Verdana" w:cs="Calibri"/>
          <w:sz w:val="20"/>
          <w:szCs w:val="20"/>
        </w:rPr>
        <w:t>c) fotocopia di un documento di identità (fronte e retro) in corso di validità del candidato;</w:t>
      </w:r>
    </w:p>
    <w:p w14:paraId="3B537AD5" w14:textId="77777777" w:rsidR="00F130E0" w:rsidRDefault="00A525A7">
      <w:pPr>
        <w:pStyle w:val="Standard"/>
        <w:spacing w:after="200" w:line="276" w:lineRule="auto"/>
        <w:jc w:val="both"/>
      </w:pPr>
      <w:r>
        <w:rPr>
          <w:rFonts w:ascii="Verdana" w:hAnsi="Verdana" w:cs="Calibri"/>
          <w:sz w:val="20"/>
          <w:szCs w:val="20"/>
        </w:rPr>
        <w:t>d) patto di integrità sottoscritto;</w:t>
      </w:r>
    </w:p>
    <w:p w14:paraId="0C9C1559" w14:textId="77777777" w:rsidR="00F130E0" w:rsidRDefault="00A525A7">
      <w:pPr>
        <w:pStyle w:val="Standard"/>
        <w:spacing w:after="200" w:line="276" w:lineRule="auto"/>
        <w:jc w:val="both"/>
      </w:pPr>
      <w:r>
        <w:rPr>
          <w:rFonts w:ascii="Verdana" w:hAnsi="Verdana" w:cs="Calibri"/>
          <w:sz w:val="20"/>
          <w:szCs w:val="20"/>
        </w:rPr>
        <w:t>e) documentazione comprovante il possesso dei requisiti preferenziali di cui al successivo punto 8.</w:t>
      </w:r>
    </w:p>
    <w:p w14:paraId="5AEBB43F" w14:textId="5D9D5AC3" w:rsidR="00F130E0" w:rsidRDefault="00A525A7">
      <w:pPr>
        <w:pStyle w:val="Standard"/>
        <w:spacing w:after="200" w:line="276" w:lineRule="auto"/>
        <w:jc w:val="both"/>
      </w:pPr>
      <w:r>
        <w:rPr>
          <w:rFonts w:ascii="Verdana" w:hAnsi="Verdana" w:cs="Calibri"/>
          <w:sz w:val="20"/>
          <w:szCs w:val="20"/>
        </w:rPr>
        <w:t xml:space="preserve">La suddetta documentazione deve pervenire </w:t>
      </w:r>
      <w:r w:rsidR="00DD009E">
        <w:rPr>
          <w:rFonts w:ascii="Verdana" w:hAnsi="Verdana" w:cs="Calibri"/>
          <w:sz w:val="20"/>
          <w:szCs w:val="20"/>
        </w:rPr>
        <w:t>– entro e non oltre le ore 13:00 del 10/01/2024</w:t>
      </w:r>
      <w:r w:rsidRPr="00DD009E">
        <w:rPr>
          <w:rFonts w:ascii="Verdana" w:hAnsi="Verdana" w:cs="Calibri"/>
          <w:b/>
          <w:sz w:val="20"/>
          <w:szCs w:val="20"/>
        </w:rPr>
        <w:t xml:space="preserve"> - </w:t>
      </w:r>
      <w:r w:rsidRPr="00DD009E">
        <w:rPr>
          <w:rFonts w:ascii="Verdana" w:hAnsi="Verdana" w:cs="Calibri"/>
          <w:sz w:val="20"/>
          <w:szCs w:val="20"/>
        </w:rPr>
        <w:t>secondo le seguenti modalità alternat</w:t>
      </w:r>
      <w:r>
        <w:rPr>
          <w:rFonts w:ascii="Verdana" w:hAnsi="Verdana" w:cs="Calibri"/>
          <w:sz w:val="20"/>
          <w:szCs w:val="20"/>
        </w:rPr>
        <w:t>ive, a scelta del candidato:</w:t>
      </w:r>
    </w:p>
    <w:p w14:paraId="1F6EC894" w14:textId="77777777" w:rsidR="00F130E0" w:rsidRDefault="00A525A7">
      <w:pPr>
        <w:pStyle w:val="Standard"/>
        <w:spacing w:after="200" w:line="276" w:lineRule="auto"/>
        <w:jc w:val="both"/>
      </w:pPr>
      <w:r>
        <w:rPr>
          <w:rFonts w:ascii="Verdana" w:hAnsi="Verdana" w:cs="Calibri"/>
          <w:sz w:val="20"/>
          <w:szCs w:val="20"/>
        </w:rPr>
        <w:t xml:space="preserve">1) tramite PEC all’indirizzo </w:t>
      </w:r>
      <w:hyperlink r:id="rId7" w:history="1">
        <w:r>
          <w:rPr>
            <w:rStyle w:val="Internetlink"/>
            <w:rFonts w:ascii="Verdana" w:hAnsi="Verdana"/>
            <w:sz w:val="20"/>
            <w:szCs w:val="20"/>
          </w:rPr>
          <w:t>finpiemonte@legalmail.it</w:t>
        </w:r>
      </w:hyperlink>
      <w:r>
        <w:rPr>
          <w:rFonts w:cs="Calibri"/>
        </w:rPr>
        <w:t>, in formato PDF</w:t>
      </w:r>
      <w:r>
        <w:rPr>
          <w:rFonts w:ascii="Verdana" w:hAnsi="Verdana"/>
          <w:sz w:val="20"/>
          <w:szCs w:val="20"/>
        </w:rPr>
        <w:t>;</w:t>
      </w:r>
    </w:p>
    <w:p w14:paraId="78119A9F" w14:textId="77777777" w:rsidR="00F130E0" w:rsidRDefault="00A525A7">
      <w:pPr>
        <w:pStyle w:val="Standard"/>
        <w:spacing w:after="200" w:line="276" w:lineRule="auto"/>
        <w:jc w:val="both"/>
      </w:pPr>
      <w:r>
        <w:rPr>
          <w:rFonts w:ascii="Verdana" w:hAnsi="Verdana"/>
          <w:sz w:val="20"/>
          <w:szCs w:val="20"/>
        </w:rPr>
        <w:t>2) a mezzo posta raccomandata A/R o consegna manuale in busta chiusa e sigillata al seguente indirizzo: Finpiemonte S.p.A., Galleria San Federico – 54, 10121 – Torino.</w:t>
      </w:r>
    </w:p>
    <w:p w14:paraId="5665C331" w14:textId="77777777" w:rsidR="00F130E0" w:rsidRDefault="00A525A7">
      <w:pPr>
        <w:pStyle w:val="Standard"/>
        <w:spacing w:after="200" w:line="276" w:lineRule="auto"/>
        <w:jc w:val="both"/>
      </w:pPr>
      <w:r>
        <w:rPr>
          <w:rFonts w:ascii="Verdana" w:hAnsi="Verdana" w:cs="Calibri"/>
          <w:sz w:val="20"/>
          <w:szCs w:val="20"/>
        </w:rPr>
        <w:t>Nell’oggetto della PEC o sulla busta chiusa devono quindi essere indicati:</w:t>
      </w:r>
    </w:p>
    <w:p w14:paraId="18FE0B57" w14:textId="77777777" w:rsidR="00F130E0" w:rsidRDefault="00A525A7">
      <w:pPr>
        <w:pStyle w:val="Paragrafoelenco"/>
        <w:numPr>
          <w:ilvl w:val="0"/>
          <w:numId w:val="21"/>
        </w:numPr>
        <w:jc w:val="both"/>
      </w:pPr>
      <w:r>
        <w:rPr>
          <w:rFonts w:ascii="Verdana" w:hAnsi="Verdana" w:cs="Calibri"/>
          <w:sz w:val="20"/>
          <w:szCs w:val="20"/>
        </w:rPr>
        <w:t>la dizione “</w:t>
      </w:r>
      <w:r>
        <w:rPr>
          <w:rFonts w:ascii="Verdana" w:hAnsi="Verdana" w:cs="Calibri"/>
          <w:i/>
          <w:sz w:val="20"/>
          <w:szCs w:val="20"/>
        </w:rPr>
        <w:t xml:space="preserve">Candidatura per componente del Comitato di Valutazione del </w:t>
      </w:r>
      <w:r>
        <w:rPr>
          <w:rFonts w:ascii="Verdana" w:hAnsi="Verdana" w:cs="Arial"/>
          <w:i/>
          <w:sz w:val="20"/>
          <w:szCs w:val="20"/>
        </w:rPr>
        <w:t>Bando A “Attrazione e sostegno della propensione agli investimenti nel territorio</w:t>
      </w:r>
      <w:r>
        <w:rPr>
          <w:rFonts w:ascii="Verdana" w:hAnsi="Verdana" w:cs="Calibri"/>
          <w:sz w:val="20"/>
          <w:szCs w:val="20"/>
        </w:rPr>
        <w:t>”;</w:t>
      </w:r>
    </w:p>
    <w:p w14:paraId="6505C898" w14:textId="77777777" w:rsidR="00F130E0" w:rsidRDefault="00A525A7">
      <w:pPr>
        <w:pStyle w:val="Paragrafoelenco"/>
        <w:numPr>
          <w:ilvl w:val="0"/>
          <w:numId w:val="5"/>
        </w:numPr>
        <w:jc w:val="both"/>
      </w:pPr>
      <w:r>
        <w:rPr>
          <w:rFonts w:ascii="Verdana" w:hAnsi="Verdana" w:cs="Calibri"/>
          <w:sz w:val="20"/>
          <w:szCs w:val="20"/>
        </w:rPr>
        <w:t>cognome e nome del candidato.</w:t>
      </w:r>
    </w:p>
    <w:p w14:paraId="29ED4DB4" w14:textId="77777777" w:rsidR="00F130E0" w:rsidRDefault="00A525A7">
      <w:pPr>
        <w:pStyle w:val="Standard"/>
        <w:jc w:val="both"/>
      </w:pPr>
      <w:r>
        <w:rPr>
          <w:rFonts w:ascii="Verdana" w:hAnsi="Verdana" w:cs="Calibri"/>
          <w:sz w:val="20"/>
          <w:szCs w:val="20"/>
        </w:rPr>
        <w:lastRenderedPageBreak/>
        <w:t>Il recapito della documentazione relativa alla candidatura è ad esclusivo rischio del mittente. Nel caso di raccomandata A/R si specifica che NON fa fede la data del timbro postale.</w:t>
      </w:r>
    </w:p>
    <w:p w14:paraId="0FCACE1B" w14:textId="77777777" w:rsidR="00F130E0" w:rsidRDefault="00A525A7">
      <w:pPr>
        <w:pStyle w:val="Standard"/>
        <w:spacing w:after="200" w:line="276" w:lineRule="auto"/>
        <w:jc w:val="both"/>
      </w:pPr>
      <w:r>
        <w:rPr>
          <w:rFonts w:ascii="Verdana" w:hAnsi="Verdana" w:cs="Calibri"/>
          <w:sz w:val="20"/>
          <w:szCs w:val="20"/>
        </w:rPr>
        <w:t>Non verranno quindi prese in considerazione candidature pervenute con modalità difformi a quelle precedentemente specificate.</w:t>
      </w:r>
    </w:p>
    <w:p w14:paraId="7251A1DF" w14:textId="77777777" w:rsidR="00F130E0" w:rsidRDefault="00A525A7">
      <w:pPr>
        <w:pStyle w:val="Titolo3"/>
        <w:spacing w:after="200" w:line="276" w:lineRule="auto"/>
        <w:jc w:val="both"/>
      </w:pPr>
      <w:r>
        <w:rPr>
          <w:rFonts w:ascii="Verdana" w:eastAsia="Times New Roman" w:hAnsi="Verdana" w:cs="Arial"/>
          <w:b/>
          <w:bCs/>
          <w:color w:val="auto"/>
          <w:sz w:val="20"/>
          <w:szCs w:val="20"/>
          <w:lang w:eastAsia="it-IT"/>
        </w:rPr>
        <w:t>8. Modalità di svolgimento della procedura di selezione e affidamento</w:t>
      </w:r>
    </w:p>
    <w:p w14:paraId="40BBCD77" w14:textId="77777777" w:rsidR="00F130E0" w:rsidRDefault="00A525A7">
      <w:pPr>
        <w:pStyle w:val="Textbodyindent"/>
        <w:spacing w:after="200" w:line="276" w:lineRule="auto"/>
        <w:ind w:left="0"/>
        <w:jc w:val="both"/>
      </w:pPr>
      <w:r>
        <w:rPr>
          <w:rFonts w:ascii="Verdana" w:hAnsi="Verdana"/>
          <w:sz w:val="20"/>
          <w:szCs w:val="20"/>
        </w:rPr>
        <w:t>Verranno ammesse alla procedura di selezione le candidature, in possesso dei requisiti richiesti, che presenteranno la documentazione entro i termini e nelle modalità sopra indicati.</w:t>
      </w:r>
    </w:p>
    <w:p w14:paraId="7FC625F8" w14:textId="77777777" w:rsidR="00F130E0" w:rsidRDefault="00A525A7">
      <w:pPr>
        <w:pStyle w:val="Standard"/>
        <w:spacing w:after="200" w:line="276" w:lineRule="auto"/>
        <w:jc w:val="both"/>
      </w:pPr>
      <w:r>
        <w:rPr>
          <w:rFonts w:ascii="Verdana" w:hAnsi="Verdana"/>
          <w:color w:val="000000"/>
          <w:sz w:val="20"/>
          <w:szCs w:val="20"/>
        </w:rPr>
        <w:t xml:space="preserve">Finpiemonte esaminerà le candidature pervenute, individuando il soggetto ritenuto più idoneo a svolgere le attività oggetto della presente procedura sulla base dell’effettiva coerenza del </w:t>
      </w:r>
      <w:r>
        <w:rPr>
          <w:rFonts w:ascii="Verdana" w:hAnsi="Verdana"/>
          <w:i/>
          <w:color w:val="000000"/>
          <w:sz w:val="20"/>
          <w:szCs w:val="20"/>
        </w:rPr>
        <w:t>curriculum</w:t>
      </w:r>
      <w:r>
        <w:rPr>
          <w:rFonts w:ascii="Verdana" w:hAnsi="Verdana"/>
          <w:color w:val="000000"/>
          <w:sz w:val="20"/>
          <w:szCs w:val="20"/>
        </w:rPr>
        <w:t xml:space="preserve"> con le mansioni richieste.</w:t>
      </w:r>
    </w:p>
    <w:p w14:paraId="6FAB8FD4" w14:textId="77777777" w:rsidR="00F130E0" w:rsidRDefault="00A525A7">
      <w:pPr>
        <w:pStyle w:val="Standard"/>
        <w:spacing w:after="200" w:line="276" w:lineRule="auto"/>
        <w:jc w:val="both"/>
      </w:pPr>
      <w:r>
        <w:rPr>
          <w:rFonts w:ascii="Verdana" w:hAnsi="Verdana"/>
          <w:color w:val="000000"/>
          <w:sz w:val="20"/>
          <w:szCs w:val="20"/>
        </w:rPr>
        <w:t>Ai fini della comparazione, si utilizzeranno i seguenti criteri preferenziali, in ordine di rilievo:</w:t>
      </w:r>
    </w:p>
    <w:p w14:paraId="23B9B838" w14:textId="77777777" w:rsidR="00F130E0" w:rsidRDefault="00A525A7">
      <w:pPr>
        <w:pStyle w:val="Standard"/>
        <w:spacing w:after="200" w:line="276" w:lineRule="auto"/>
        <w:jc w:val="both"/>
      </w:pPr>
      <w:r>
        <w:rPr>
          <w:rFonts w:ascii="Verdana" w:hAnsi="Verdana"/>
          <w:color w:val="000000"/>
          <w:sz w:val="20"/>
          <w:szCs w:val="20"/>
        </w:rPr>
        <w:t>1) maggior esperienza e competenza negli ambiti indicati alla sezione 2, punti 2 e 3 del presente Avviso;</w:t>
      </w:r>
    </w:p>
    <w:p w14:paraId="26DD0E18" w14:textId="77777777" w:rsidR="00F130E0" w:rsidRDefault="00A525A7">
      <w:pPr>
        <w:pStyle w:val="Standard"/>
        <w:spacing w:after="200" w:line="276" w:lineRule="auto"/>
        <w:jc w:val="both"/>
      </w:pPr>
      <w:r>
        <w:rPr>
          <w:rFonts w:ascii="Verdana" w:hAnsi="Verdana"/>
          <w:color w:val="000000"/>
          <w:sz w:val="20"/>
          <w:szCs w:val="20"/>
        </w:rPr>
        <w:t>2) pregresse collaborazioni dirette con imprese e aziende sui temi di cui al precedente punto;</w:t>
      </w:r>
    </w:p>
    <w:p w14:paraId="097268B8" w14:textId="77777777" w:rsidR="00F130E0" w:rsidRDefault="00A525A7">
      <w:pPr>
        <w:pStyle w:val="Standard"/>
        <w:spacing w:after="200" w:line="276" w:lineRule="auto"/>
        <w:jc w:val="both"/>
      </w:pPr>
      <w:r>
        <w:rPr>
          <w:rFonts w:ascii="Verdana" w:hAnsi="Verdana"/>
          <w:color w:val="000000"/>
          <w:sz w:val="20"/>
          <w:szCs w:val="20"/>
        </w:rPr>
        <w:t xml:space="preserve">3) esperienza professionale in ambito di analisi di temi legati all’attuazione dei principi “DNSH” (“Do </w:t>
      </w:r>
      <w:proofErr w:type="spellStart"/>
      <w:r>
        <w:rPr>
          <w:rFonts w:ascii="Verdana" w:hAnsi="Verdana"/>
          <w:color w:val="000000"/>
          <w:sz w:val="20"/>
          <w:szCs w:val="20"/>
        </w:rPr>
        <w:t>not</w:t>
      </w:r>
      <w:proofErr w:type="spellEnd"/>
      <w:r>
        <w:rPr>
          <w:rFonts w:ascii="Verdana" w:hAnsi="Verdana"/>
          <w:color w:val="000000"/>
          <w:sz w:val="20"/>
          <w:szCs w:val="20"/>
        </w:rPr>
        <w:t xml:space="preserve"> </w:t>
      </w:r>
      <w:proofErr w:type="spellStart"/>
      <w:r>
        <w:rPr>
          <w:rFonts w:ascii="Verdana" w:hAnsi="Verdana"/>
          <w:color w:val="000000"/>
          <w:sz w:val="20"/>
          <w:szCs w:val="20"/>
        </w:rPr>
        <w:t>Significant</w:t>
      </w:r>
      <w:proofErr w:type="spellEnd"/>
      <w:r>
        <w:rPr>
          <w:rFonts w:ascii="Verdana" w:hAnsi="Verdana"/>
          <w:color w:val="000000"/>
          <w:sz w:val="20"/>
          <w:szCs w:val="20"/>
        </w:rPr>
        <w:t xml:space="preserve"> </w:t>
      </w:r>
      <w:proofErr w:type="spellStart"/>
      <w:r>
        <w:rPr>
          <w:rFonts w:ascii="Verdana" w:hAnsi="Verdana"/>
          <w:color w:val="000000"/>
          <w:sz w:val="20"/>
          <w:szCs w:val="20"/>
        </w:rPr>
        <w:t>Harm</w:t>
      </w:r>
      <w:proofErr w:type="spellEnd"/>
      <w:r>
        <w:rPr>
          <w:rFonts w:ascii="Verdana" w:hAnsi="Verdana"/>
          <w:color w:val="000000"/>
          <w:sz w:val="20"/>
          <w:szCs w:val="20"/>
        </w:rPr>
        <w:t xml:space="preserve">”) di cui al Regolamento (UE) n. 852/2020 </w:t>
      </w:r>
      <w:proofErr w:type="gramStart"/>
      <w:r>
        <w:rPr>
          <w:rFonts w:ascii="Verdana" w:hAnsi="Verdana"/>
          <w:color w:val="000000"/>
          <w:sz w:val="20"/>
          <w:szCs w:val="20"/>
        </w:rPr>
        <w:t>e “</w:t>
      </w:r>
      <w:proofErr w:type="gramEnd"/>
      <w:r>
        <w:rPr>
          <w:rFonts w:ascii="Verdana" w:hAnsi="Verdana"/>
          <w:color w:val="000000"/>
          <w:sz w:val="20"/>
          <w:szCs w:val="20"/>
        </w:rPr>
        <w:t>Immunizzazione dagli effetti del clima” di cui al Regolamento (UE) n. 2021/1060;</w:t>
      </w:r>
    </w:p>
    <w:p w14:paraId="0527FE97" w14:textId="77777777" w:rsidR="00F130E0" w:rsidRDefault="00A525A7">
      <w:pPr>
        <w:pStyle w:val="Standard"/>
        <w:spacing w:after="200" w:line="276" w:lineRule="auto"/>
        <w:jc w:val="both"/>
      </w:pPr>
      <w:r>
        <w:rPr>
          <w:rFonts w:ascii="Verdana" w:hAnsi="Verdana"/>
          <w:color w:val="000000"/>
          <w:sz w:val="20"/>
          <w:szCs w:val="20"/>
        </w:rPr>
        <w:t>4) esperienze di collaborazione professionale con la pubblica amministrazione/enti pubblici sui temi indicati sempre alla sezione 2, punti 2 e 3;</w:t>
      </w:r>
    </w:p>
    <w:p w14:paraId="6A5E8C9E" w14:textId="77777777" w:rsidR="00F130E0" w:rsidRDefault="00A525A7">
      <w:pPr>
        <w:pStyle w:val="Standard"/>
        <w:spacing w:after="200" w:line="276" w:lineRule="auto"/>
        <w:jc w:val="both"/>
      </w:pPr>
      <w:r>
        <w:rPr>
          <w:rFonts w:ascii="Verdana" w:hAnsi="Verdana"/>
          <w:color w:val="000000"/>
          <w:sz w:val="20"/>
          <w:szCs w:val="20"/>
        </w:rPr>
        <w:t>All’esame delle candidature potrà seguire eventuale colloquio.</w:t>
      </w:r>
    </w:p>
    <w:p w14:paraId="48457838" w14:textId="77777777" w:rsidR="00F130E0" w:rsidRDefault="00A525A7">
      <w:pPr>
        <w:pStyle w:val="Standard"/>
        <w:spacing w:after="200" w:line="276" w:lineRule="auto"/>
        <w:jc w:val="both"/>
      </w:pPr>
      <w:r>
        <w:rPr>
          <w:rFonts w:ascii="Verdana" w:hAnsi="Verdana" w:cs="Calibri"/>
          <w:sz w:val="20"/>
          <w:szCs w:val="20"/>
        </w:rPr>
        <w:t>Finpiemonte potrà avvalersi della facoltà di non procedere all’aggiudicazione in mancanza di candidature ritenute soddisfacenti. Finpiemonte si riserva altresì la facoltà di aggiudicare l’incarico anche in presenza di una sola candidatura valida.</w:t>
      </w:r>
    </w:p>
    <w:p w14:paraId="2C21C89F" w14:textId="77777777" w:rsidR="00F130E0" w:rsidRDefault="00A525A7">
      <w:pPr>
        <w:pStyle w:val="Standard"/>
        <w:spacing w:after="200" w:line="276" w:lineRule="auto"/>
        <w:jc w:val="both"/>
      </w:pPr>
      <w:r>
        <w:rPr>
          <w:rFonts w:ascii="Verdana" w:hAnsi="Verdana" w:cs="Calibri"/>
          <w:sz w:val="20"/>
          <w:szCs w:val="20"/>
        </w:rPr>
        <w:t>La procedura di selezione sarà in ogni caso conclusa entro 60 giorni dalla scadenza del presente avviso.</w:t>
      </w:r>
    </w:p>
    <w:p w14:paraId="271A5228" w14:textId="77777777" w:rsidR="00F130E0" w:rsidRDefault="00F130E0">
      <w:pPr>
        <w:pStyle w:val="Standard"/>
        <w:spacing w:after="200" w:line="276" w:lineRule="auto"/>
        <w:jc w:val="both"/>
        <w:rPr>
          <w:rFonts w:ascii="Verdana" w:hAnsi="Verdana" w:cs="Calibri"/>
          <w:sz w:val="20"/>
          <w:szCs w:val="20"/>
        </w:rPr>
      </w:pPr>
    </w:p>
    <w:p w14:paraId="37CE8C91" w14:textId="77777777" w:rsidR="00F130E0" w:rsidRDefault="00A525A7">
      <w:pPr>
        <w:pStyle w:val="Standard"/>
        <w:spacing w:after="200" w:line="276" w:lineRule="auto"/>
        <w:jc w:val="both"/>
      </w:pPr>
      <w:r>
        <w:rPr>
          <w:rFonts w:ascii="Verdana" w:eastAsia="Times New Roman" w:hAnsi="Verdana" w:cs="Arial"/>
          <w:b/>
          <w:bCs/>
          <w:sz w:val="20"/>
          <w:szCs w:val="20"/>
          <w:lang w:eastAsia="it-IT"/>
        </w:rPr>
        <w:t>9. Responsabile del procedimento</w:t>
      </w:r>
    </w:p>
    <w:p w14:paraId="09F36DD2" w14:textId="77777777" w:rsidR="00F130E0" w:rsidRDefault="00A525A7">
      <w:pPr>
        <w:pStyle w:val="Standard"/>
        <w:spacing w:after="200" w:line="276" w:lineRule="auto"/>
        <w:jc w:val="both"/>
      </w:pPr>
      <w:r>
        <w:rPr>
          <w:rFonts w:ascii="Verdana" w:hAnsi="Verdana" w:cs="Calibri"/>
          <w:sz w:val="20"/>
          <w:szCs w:val="20"/>
        </w:rPr>
        <w:t>Il responsabile del procedimento è il dott. Fabrizio Gramaglia.</w:t>
      </w:r>
    </w:p>
    <w:p w14:paraId="5AC8CE48" w14:textId="77777777" w:rsidR="00F130E0" w:rsidRDefault="00F130E0">
      <w:pPr>
        <w:pStyle w:val="Standard"/>
        <w:spacing w:after="200" w:line="276" w:lineRule="auto"/>
        <w:jc w:val="both"/>
        <w:rPr>
          <w:rFonts w:ascii="Verdana" w:hAnsi="Verdana" w:cs="Calibri"/>
          <w:b/>
          <w:sz w:val="20"/>
          <w:szCs w:val="20"/>
        </w:rPr>
      </w:pPr>
    </w:p>
    <w:p w14:paraId="649E7473" w14:textId="77777777" w:rsidR="00F130E0" w:rsidRDefault="00A525A7">
      <w:pPr>
        <w:pStyle w:val="Standard"/>
        <w:spacing w:after="200" w:line="276" w:lineRule="auto"/>
        <w:jc w:val="both"/>
      </w:pPr>
      <w:r>
        <w:rPr>
          <w:rFonts w:ascii="Verdana" w:hAnsi="Verdana" w:cs="Arial"/>
          <w:b/>
          <w:sz w:val="20"/>
          <w:szCs w:val="20"/>
          <w:u w:val="single"/>
        </w:rPr>
        <w:t>Allegati</w:t>
      </w:r>
      <w:r>
        <w:rPr>
          <w:rFonts w:ascii="Verdana" w:hAnsi="Verdana" w:cs="Arial"/>
          <w:b/>
          <w:sz w:val="20"/>
          <w:szCs w:val="20"/>
        </w:rPr>
        <w:t>:</w:t>
      </w:r>
    </w:p>
    <w:p w14:paraId="2DE646E1" w14:textId="671C0DC4" w:rsidR="00F130E0" w:rsidRPr="00DD009E" w:rsidRDefault="00A525A7">
      <w:pPr>
        <w:pStyle w:val="Paragrafoelenco"/>
        <w:numPr>
          <w:ilvl w:val="0"/>
          <w:numId w:val="22"/>
        </w:numPr>
        <w:spacing w:before="120" w:after="0"/>
        <w:ind w:left="714" w:hanging="357"/>
        <w:jc w:val="both"/>
        <w:rPr>
          <w:rFonts w:ascii="Verdana" w:hAnsi="Verdana" w:cs="Arial"/>
          <w:sz w:val="20"/>
          <w:szCs w:val="20"/>
        </w:rPr>
      </w:pPr>
      <w:r>
        <w:rPr>
          <w:rFonts w:ascii="Verdana" w:hAnsi="Verdana" w:cs="Arial"/>
          <w:sz w:val="20"/>
          <w:szCs w:val="20"/>
        </w:rPr>
        <w:t>Bando</w:t>
      </w:r>
      <w:r w:rsidR="00DD009E">
        <w:rPr>
          <w:rFonts w:ascii="Verdana" w:hAnsi="Verdana" w:cs="Arial"/>
          <w:sz w:val="20"/>
          <w:szCs w:val="20"/>
        </w:rPr>
        <w:t xml:space="preserve"> </w:t>
      </w:r>
      <w:r w:rsidR="00DD009E" w:rsidRPr="00DD009E">
        <w:rPr>
          <w:rFonts w:ascii="Verdana" w:hAnsi="Verdana" w:cs="Arial"/>
          <w:sz w:val="20"/>
          <w:szCs w:val="20"/>
        </w:rPr>
        <w:t>A “Attrazione e sostegno della propensione agli investimenti nel territorio”</w:t>
      </w:r>
      <w:r w:rsidR="00DD009E">
        <w:rPr>
          <w:rFonts w:ascii="Verdana" w:hAnsi="Verdana" w:cs="Arial"/>
          <w:sz w:val="20"/>
          <w:szCs w:val="20"/>
        </w:rPr>
        <w:t>;</w:t>
      </w:r>
    </w:p>
    <w:p w14:paraId="7639FD2D" w14:textId="77777777" w:rsidR="00F130E0" w:rsidRDefault="00A525A7">
      <w:pPr>
        <w:pStyle w:val="Paragrafoelenco"/>
        <w:widowControl w:val="0"/>
        <w:numPr>
          <w:ilvl w:val="0"/>
          <w:numId w:val="6"/>
        </w:numPr>
        <w:tabs>
          <w:tab w:val="left" w:pos="1545"/>
          <w:tab w:val="left" w:pos="1547"/>
        </w:tabs>
        <w:suppressAutoHyphens w:val="0"/>
        <w:spacing w:before="37" w:after="0" w:line="240" w:lineRule="auto"/>
      </w:pPr>
      <w:r>
        <w:rPr>
          <w:rFonts w:ascii="Verdana" w:hAnsi="Verdana" w:cs="Arial"/>
          <w:sz w:val="20"/>
          <w:szCs w:val="20"/>
        </w:rPr>
        <w:t>Modulo di dichi</w:t>
      </w:r>
      <w:bookmarkStart w:id="0" w:name="_GoBack"/>
      <w:bookmarkEnd w:id="0"/>
      <w:r>
        <w:rPr>
          <w:rFonts w:ascii="Verdana" w:hAnsi="Verdana" w:cs="Arial"/>
          <w:sz w:val="20"/>
          <w:szCs w:val="20"/>
        </w:rPr>
        <w:t xml:space="preserve">arazione ai sensi dell’art. 35-bis del </w:t>
      </w:r>
      <w:proofErr w:type="spellStart"/>
      <w:proofErr w:type="gramStart"/>
      <w:r>
        <w:rPr>
          <w:rFonts w:ascii="Verdana" w:hAnsi="Verdana" w:cs="Arial"/>
          <w:sz w:val="20"/>
          <w:szCs w:val="20"/>
        </w:rPr>
        <w:t>D.Lgs</w:t>
      </w:r>
      <w:proofErr w:type="gramEnd"/>
      <w:r>
        <w:rPr>
          <w:rFonts w:ascii="Verdana" w:hAnsi="Verdana" w:cs="Arial"/>
          <w:sz w:val="20"/>
          <w:szCs w:val="20"/>
        </w:rPr>
        <w:t>.</w:t>
      </w:r>
      <w:proofErr w:type="spellEnd"/>
      <w:r>
        <w:rPr>
          <w:rFonts w:ascii="Verdana" w:hAnsi="Verdana" w:cs="Arial"/>
          <w:sz w:val="20"/>
          <w:szCs w:val="20"/>
        </w:rPr>
        <w:t xml:space="preserve"> n.165/2001 e ai sensi degli artt. 94 e ss. del </w:t>
      </w:r>
      <w:proofErr w:type="spellStart"/>
      <w:proofErr w:type="gramStart"/>
      <w:r>
        <w:rPr>
          <w:rFonts w:ascii="Verdana" w:hAnsi="Verdana" w:cs="Arial"/>
          <w:sz w:val="20"/>
          <w:szCs w:val="20"/>
        </w:rPr>
        <w:t>D.Lgs</w:t>
      </w:r>
      <w:proofErr w:type="gramEnd"/>
      <w:r>
        <w:rPr>
          <w:rFonts w:ascii="Verdana" w:hAnsi="Verdana" w:cs="Arial"/>
          <w:sz w:val="20"/>
          <w:szCs w:val="20"/>
        </w:rPr>
        <w:t>.</w:t>
      </w:r>
      <w:proofErr w:type="spellEnd"/>
      <w:r>
        <w:rPr>
          <w:rFonts w:ascii="Verdana" w:hAnsi="Verdana" w:cs="Arial"/>
          <w:sz w:val="20"/>
          <w:szCs w:val="20"/>
        </w:rPr>
        <w:t xml:space="preserve"> n.36/2023;</w:t>
      </w:r>
    </w:p>
    <w:p w14:paraId="29B2A694" w14:textId="77777777" w:rsidR="00F130E0" w:rsidRDefault="00A525A7">
      <w:pPr>
        <w:pStyle w:val="Paragrafoelenco"/>
        <w:numPr>
          <w:ilvl w:val="0"/>
          <w:numId w:val="6"/>
        </w:numPr>
        <w:spacing w:before="120" w:after="0"/>
        <w:ind w:left="714" w:hanging="357"/>
        <w:jc w:val="both"/>
      </w:pPr>
      <w:r>
        <w:rPr>
          <w:rFonts w:ascii="Verdana" w:hAnsi="Verdana" w:cs="Arial"/>
          <w:sz w:val="20"/>
          <w:szCs w:val="20"/>
        </w:rPr>
        <w:t>Informativa ai sensi dell’art. 13 REGOLAMENTO (UE) 2016/679 – GDPR;</w:t>
      </w:r>
    </w:p>
    <w:p w14:paraId="45AD3FBA" w14:textId="77777777" w:rsidR="00F130E0" w:rsidRDefault="00A525A7">
      <w:pPr>
        <w:pStyle w:val="Paragrafoelenco"/>
        <w:numPr>
          <w:ilvl w:val="0"/>
          <w:numId w:val="6"/>
        </w:numPr>
        <w:spacing w:before="120" w:after="0"/>
        <w:ind w:left="714" w:hanging="357"/>
        <w:jc w:val="both"/>
      </w:pPr>
      <w:r>
        <w:rPr>
          <w:rFonts w:ascii="Verdana" w:hAnsi="Verdana" w:cs="Arial"/>
          <w:sz w:val="20"/>
          <w:szCs w:val="20"/>
        </w:rPr>
        <w:lastRenderedPageBreak/>
        <w:t>Patto di integrità;</w:t>
      </w:r>
    </w:p>
    <w:p w14:paraId="227292BF" w14:textId="77777777" w:rsidR="00F130E0" w:rsidRDefault="00A525A7">
      <w:pPr>
        <w:pStyle w:val="Paragrafoelenco"/>
        <w:numPr>
          <w:ilvl w:val="0"/>
          <w:numId w:val="6"/>
        </w:numPr>
        <w:spacing w:before="120" w:after="0"/>
        <w:ind w:left="714" w:hanging="357"/>
        <w:jc w:val="both"/>
      </w:pPr>
      <w:r>
        <w:rPr>
          <w:rFonts w:ascii="Verdana" w:hAnsi="Verdana" w:cs="Arial"/>
          <w:sz w:val="20"/>
          <w:szCs w:val="20"/>
        </w:rPr>
        <w:t>Bozza di contratto.</w:t>
      </w:r>
    </w:p>
    <w:p w14:paraId="20746A80" w14:textId="77777777" w:rsidR="00F130E0" w:rsidRDefault="00F130E0">
      <w:pPr>
        <w:pStyle w:val="Paragrafoelenco"/>
        <w:jc w:val="both"/>
      </w:pPr>
    </w:p>
    <w:sectPr w:rsidR="00F130E0">
      <w:headerReference w:type="default" r:id="rId8"/>
      <w:pgSz w:w="11906" w:h="16838"/>
      <w:pgMar w:top="2250"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5431C" w14:textId="77777777" w:rsidR="003B5CBE" w:rsidRDefault="00A525A7">
      <w:r>
        <w:separator/>
      </w:r>
    </w:p>
  </w:endnote>
  <w:endnote w:type="continuationSeparator" w:id="0">
    <w:p w14:paraId="3292261C" w14:textId="77777777" w:rsidR="003B5CBE" w:rsidRDefault="00A5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ans">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1CA94" w14:textId="77777777" w:rsidR="003B5CBE" w:rsidRDefault="00A525A7">
      <w:r>
        <w:rPr>
          <w:color w:val="000000"/>
        </w:rPr>
        <w:separator/>
      </w:r>
    </w:p>
  </w:footnote>
  <w:footnote w:type="continuationSeparator" w:id="0">
    <w:p w14:paraId="1CC8EE8B" w14:textId="77777777" w:rsidR="003B5CBE" w:rsidRDefault="00A52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98E9D" w14:textId="77777777" w:rsidR="0038511E" w:rsidRDefault="00A525A7">
    <w:pPr>
      <w:pStyle w:val="Intestazione"/>
    </w:pPr>
    <w:r>
      <w:rPr>
        <w:noProof/>
        <w:lang w:eastAsia="it-IT"/>
      </w:rPr>
      <w:drawing>
        <wp:anchor distT="0" distB="0" distL="114300" distR="114300" simplePos="0" relativeHeight="251659264" behindDoc="1" locked="0" layoutInCell="1" allowOverlap="1" wp14:anchorId="79BE8064" wp14:editId="1C5074E4">
          <wp:simplePos x="0" y="0"/>
          <wp:positionH relativeFrom="page">
            <wp:posOffset>2796480</wp:posOffset>
          </wp:positionH>
          <wp:positionV relativeFrom="page">
            <wp:posOffset>722520</wp:posOffset>
          </wp:positionV>
          <wp:extent cx="2368440" cy="512999"/>
          <wp:effectExtent l="0" t="0" r="0" b="1351"/>
          <wp:wrapNone/>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368440" cy="512999"/>
                  </a:xfrm>
                  <a:prstGeom prst="rect">
                    <a:avLst/>
                  </a:prstGeom>
                  <a:noFill/>
                  <a:ln>
                    <a:noFill/>
                    <a:prstDash/>
                  </a:ln>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86407"/>
    <w:multiLevelType w:val="multilevel"/>
    <w:tmpl w:val="71B25974"/>
    <w:styleLink w:val="WWNum10"/>
    <w:lvl w:ilvl="0">
      <w:start w:val="1"/>
      <w:numFmt w:val="decimal"/>
      <w:lvlText w:val="%1"/>
      <w:lvlJc w:val="left"/>
      <w:pPr>
        <w:ind w:left="720" w:hanging="360"/>
      </w:pPr>
      <w:rPr>
        <w:color w:val="auto"/>
      </w:rPr>
    </w:lvl>
    <w:lvl w:ilvl="1">
      <w:start w:val="1"/>
      <w:numFmt w:val="decimal"/>
      <w:lvlText w:val="%1.%2"/>
      <w:lvlJc w:val="left"/>
      <w:pPr>
        <w:ind w:left="1500" w:hanging="420"/>
      </w:pPr>
      <w:rPr>
        <w:rFonts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6E05511"/>
    <w:multiLevelType w:val="multilevel"/>
    <w:tmpl w:val="47480CA0"/>
    <w:styleLink w:val="WWNum3"/>
    <w:lvl w:ilvl="0">
      <w:start w:val="1"/>
      <w:numFmt w:val="decimal"/>
      <w:lvlText w:val="%1"/>
      <w:lvlJc w:val="left"/>
      <w:pPr>
        <w:ind w:left="720" w:hanging="360"/>
      </w:pPr>
      <w:rPr>
        <w:color w:val="auto"/>
      </w:rPr>
    </w:lvl>
    <w:lvl w:ilvl="1">
      <w:start w:val="1"/>
      <w:numFmt w:val="decimal"/>
      <w:lvlText w:val="%1.%2"/>
      <w:lvlJc w:val="left"/>
      <w:pPr>
        <w:ind w:left="1500" w:hanging="420"/>
      </w:pPr>
      <w:rPr>
        <w:rFonts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F704655"/>
    <w:multiLevelType w:val="multilevel"/>
    <w:tmpl w:val="D68A253E"/>
    <w:styleLink w:val="WWNum9"/>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22D6361F"/>
    <w:multiLevelType w:val="multilevel"/>
    <w:tmpl w:val="04EE773E"/>
    <w:styleLink w:val="WWNum11"/>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25E44CEC"/>
    <w:multiLevelType w:val="multilevel"/>
    <w:tmpl w:val="867CE12C"/>
    <w:styleLink w:val="WWNum13"/>
    <w:lvl w:ilvl="0">
      <w:numFmt w:val="bullet"/>
      <w:lvlText w:val="-"/>
      <w:lvlJc w:val="left"/>
      <w:pPr>
        <w:ind w:left="826" w:hanging="356"/>
      </w:pPr>
      <w:rPr>
        <w:w w:val="99"/>
        <w:lang w:val="it-IT" w:eastAsia="en-US" w:bidi="ar-SA"/>
      </w:rPr>
    </w:lvl>
    <w:lvl w:ilvl="1">
      <w:numFmt w:val="bullet"/>
      <w:lvlText w:val="•"/>
      <w:lvlJc w:val="left"/>
      <w:pPr>
        <w:ind w:left="1724" w:hanging="356"/>
      </w:pPr>
      <w:rPr>
        <w:lang w:val="it-IT" w:eastAsia="en-US" w:bidi="ar-SA"/>
      </w:rPr>
    </w:lvl>
    <w:lvl w:ilvl="2">
      <w:numFmt w:val="bullet"/>
      <w:lvlText w:val="•"/>
      <w:lvlJc w:val="left"/>
      <w:pPr>
        <w:ind w:left="2629" w:hanging="356"/>
      </w:pPr>
      <w:rPr>
        <w:lang w:val="it-IT" w:eastAsia="en-US" w:bidi="ar-SA"/>
      </w:rPr>
    </w:lvl>
    <w:lvl w:ilvl="3">
      <w:numFmt w:val="bullet"/>
      <w:lvlText w:val="•"/>
      <w:lvlJc w:val="left"/>
      <w:pPr>
        <w:ind w:left="3533" w:hanging="356"/>
      </w:pPr>
      <w:rPr>
        <w:lang w:val="it-IT" w:eastAsia="en-US" w:bidi="ar-SA"/>
      </w:rPr>
    </w:lvl>
    <w:lvl w:ilvl="4">
      <w:numFmt w:val="bullet"/>
      <w:lvlText w:val="•"/>
      <w:lvlJc w:val="left"/>
      <w:pPr>
        <w:ind w:left="4438" w:hanging="356"/>
      </w:pPr>
      <w:rPr>
        <w:lang w:val="it-IT" w:eastAsia="en-US" w:bidi="ar-SA"/>
      </w:rPr>
    </w:lvl>
    <w:lvl w:ilvl="5">
      <w:numFmt w:val="bullet"/>
      <w:lvlText w:val="•"/>
      <w:lvlJc w:val="left"/>
      <w:pPr>
        <w:ind w:left="5343" w:hanging="356"/>
      </w:pPr>
      <w:rPr>
        <w:lang w:val="it-IT" w:eastAsia="en-US" w:bidi="ar-SA"/>
      </w:rPr>
    </w:lvl>
    <w:lvl w:ilvl="6">
      <w:numFmt w:val="bullet"/>
      <w:lvlText w:val="•"/>
      <w:lvlJc w:val="left"/>
      <w:pPr>
        <w:ind w:left="6247" w:hanging="356"/>
      </w:pPr>
      <w:rPr>
        <w:lang w:val="it-IT" w:eastAsia="en-US" w:bidi="ar-SA"/>
      </w:rPr>
    </w:lvl>
    <w:lvl w:ilvl="7">
      <w:numFmt w:val="bullet"/>
      <w:lvlText w:val="•"/>
      <w:lvlJc w:val="left"/>
      <w:pPr>
        <w:ind w:left="7152" w:hanging="356"/>
      </w:pPr>
      <w:rPr>
        <w:lang w:val="it-IT" w:eastAsia="en-US" w:bidi="ar-SA"/>
      </w:rPr>
    </w:lvl>
    <w:lvl w:ilvl="8">
      <w:numFmt w:val="bullet"/>
      <w:lvlText w:val="•"/>
      <w:lvlJc w:val="left"/>
      <w:pPr>
        <w:ind w:left="8057" w:hanging="356"/>
      </w:pPr>
      <w:rPr>
        <w:lang w:val="it-IT" w:eastAsia="en-US" w:bidi="ar-SA"/>
      </w:rPr>
    </w:lvl>
  </w:abstractNum>
  <w:abstractNum w:abstractNumId="5" w15:restartNumberingAfterBreak="0">
    <w:nsid w:val="36B16DCD"/>
    <w:multiLevelType w:val="multilevel"/>
    <w:tmpl w:val="30A69646"/>
    <w:styleLink w:val="WWNum5"/>
    <w:lvl w:ilvl="0">
      <w:numFmt w:val="bullet"/>
      <w:lvlText w:val="-"/>
      <w:lvlJc w:val="left"/>
      <w:pPr>
        <w:ind w:left="720" w:hanging="360"/>
      </w:pPr>
      <w:rPr>
        <w:rFonts w:ascii="Verdana" w:hAnsi="Verdana" w:cs="Verdan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45AB7637"/>
    <w:multiLevelType w:val="multilevel"/>
    <w:tmpl w:val="BD14609A"/>
    <w:styleLink w:val="WW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487A4337"/>
    <w:multiLevelType w:val="multilevel"/>
    <w:tmpl w:val="CC9C2CE6"/>
    <w:styleLink w:val="WW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557F2B7C"/>
    <w:multiLevelType w:val="multilevel"/>
    <w:tmpl w:val="02C22614"/>
    <w:styleLink w:val="WWNum2"/>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563754CE"/>
    <w:multiLevelType w:val="multilevel"/>
    <w:tmpl w:val="7136A410"/>
    <w:styleLink w:val="WWNum4"/>
    <w:lvl w:ilvl="0">
      <w:start w:val="1"/>
      <w:numFmt w:val="lowerLetter"/>
      <w:lvlText w:val="%1"/>
      <w:lvlJc w:val="left"/>
      <w:pPr>
        <w:ind w:left="720" w:hanging="360"/>
      </w:pPr>
      <w:rPr>
        <w:b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6E602FBE"/>
    <w:multiLevelType w:val="multilevel"/>
    <w:tmpl w:val="AC000562"/>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70D613FA"/>
    <w:multiLevelType w:val="multilevel"/>
    <w:tmpl w:val="47E0A8B2"/>
    <w:styleLink w:val="WWNum12"/>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720A3FBF"/>
    <w:multiLevelType w:val="multilevel"/>
    <w:tmpl w:val="67F248C0"/>
    <w:styleLink w:val="WWNum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72A86511"/>
    <w:multiLevelType w:val="multilevel"/>
    <w:tmpl w:val="FF88C90E"/>
    <w:styleLink w:val="WWNum1"/>
    <w:lvl w:ilvl="0">
      <w:numFmt w:val="bullet"/>
      <w:lvlText w:val="-"/>
      <w:lvlJc w:val="left"/>
      <w:pPr>
        <w:ind w:left="720" w:hanging="360"/>
      </w:pPr>
      <w:rPr>
        <w:rFonts w:ascii="Verdana" w:hAnsi="Verdana" w:cs="Verdan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0"/>
  </w:num>
  <w:num w:numId="2">
    <w:abstractNumId w:val="13"/>
  </w:num>
  <w:num w:numId="3">
    <w:abstractNumId w:val="8"/>
  </w:num>
  <w:num w:numId="4">
    <w:abstractNumId w:val="1"/>
  </w:num>
  <w:num w:numId="5">
    <w:abstractNumId w:val="9"/>
  </w:num>
  <w:num w:numId="6">
    <w:abstractNumId w:val="5"/>
  </w:num>
  <w:num w:numId="7">
    <w:abstractNumId w:val="6"/>
  </w:num>
  <w:num w:numId="8">
    <w:abstractNumId w:val="7"/>
  </w:num>
  <w:num w:numId="9">
    <w:abstractNumId w:val="12"/>
  </w:num>
  <w:num w:numId="10">
    <w:abstractNumId w:val="2"/>
  </w:num>
  <w:num w:numId="11">
    <w:abstractNumId w:val="0"/>
  </w:num>
  <w:num w:numId="12">
    <w:abstractNumId w:val="3"/>
  </w:num>
  <w:num w:numId="13">
    <w:abstractNumId w:val="11"/>
  </w:num>
  <w:num w:numId="14">
    <w:abstractNumId w:val="4"/>
  </w:num>
  <w:num w:numId="15">
    <w:abstractNumId w:val="13"/>
  </w:num>
  <w:num w:numId="16">
    <w:abstractNumId w:val="6"/>
  </w:num>
  <w:num w:numId="17">
    <w:abstractNumId w:val="12"/>
  </w:num>
  <w:num w:numId="18">
    <w:abstractNumId w:val="7"/>
  </w:num>
  <w:num w:numId="19">
    <w:abstractNumId w:val="8"/>
    <w:lvlOverride w:ilvl="0">
      <w:startOverride w:val="1"/>
    </w:lvlOverride>
  </w:num>
  <w:num w:numId="20">
    <w:abstractNumId w:val="1"/>
    <w:lvlOverride w:ilvl="0">
      <w:startOverride w:val="1"/>
    </w:lvlOverride>
  </w:num>
  <w:num w:numId="21">
    <w:abstractNumId w:val="9"/>
    <w:lvlOverride w:ilvl="0">
      <w:startOverride w:val="1"/>
    </w:lvlOverride>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E0"/>
    <w:rsid w:val="001773AB"/>
    <w:rsid w:val="002E66E9"/>
    <w:rsid w:val="00326D64"/>
    <w:rsid w:val="003B5CBE"/>
    <w:rsid w:val="006B5720"/>
    <w:rsid w:val="008A1E55"/>
    <w:rsid w:val="0094029A"/>
    <w:rsid w:val="00995EBC"/>
    <w:rsid w:val="00A525A7"/>
    <w:rsid w:val="00AE348A"/>
    <w:rsid w:val="00D35011"/>
    <w:rsid w:val="00DD009E"/>
    <w:rsid w:val="00F130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6AAE"/>
  <w15:docId w15:val="{132B32E5-8EEC-477D-A1A1-D68BF06B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it-I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pPr>
      <w:keepNext/>
      <w:spacing w:after="0" w:line="240" w:lineRule="auto"/>
      <w:jc w:val="both"/>
      <w:outlineLvl w:val="0"/>
    </w:pPr>
    <w:rPr>
      <w:rFonts w:ascii="Times New Roman" w:eastAsia="Times New Roman" w:hAnsi="Times New Roman" w:cs="Times New Roman"/>
      <w:b/>
      <w:bCs/>
      <w:sz w:val="24"/>
      <w:szCs w:val="24"/>
      <w:u w:val="single"/>
      <w:lang w:eastAsia="it-IT"/>
    </w:rPr>
  </w:style>
  <w:style w:type="paragraph" w:styleId="Titolo2">
    <w:name w:val="heading 2"/>
    <w:basedOn w:val="Standard"/>
    <w:next w:val="Standard"/>
    <w:pPr>
      <w:keepNext/>
      <w:keepLines/>
      <w:spacing w:before="40" w:after="0"/>
      <w:outlineLvl w:val="1"/>
    </w:pPr>
    <w:rPr>
      <w:rFonts w:ascii="Calibri Light" w:eastAsia="Calibri Light" w:hAnsi="Calibri Light" w:cs="Calibri Light"/>
      <w:color w:val="2E74B5"/>
      <w:sz w:val="26"/>
      <w:szCs w:val="26"/>
    </w:rPr>
  </w:style>
  <w:style w:type="paragraph" w:styleId="Titolo3">
    <w:name w:val="heading 3"/>
    <w:basedOn w:val="Standard"/>
    <w:next w:val="Standard"/>
    <w:pPr>
      <w:keepNext/>
      <w:keepLines/>
      <w:spacing w:before="40" w:after="0"/>
      <w:outlineLvl w:val="2"/>
    </w:pPr>
    <w:rPr>
      <w:rFonts w:ascii="Calibri Light" w:eastAsia="Calibri Light" w:hAnsi="Calibri Light" w:cs="Calibri Light"/>
      <w:color w:val="1F4D78"/>
      <w:sz w:val="24"/>
      <w:szCs w:val="24"/>
    </w:rPr>
  </w:style>
  <w:style w:type="paragraph" w:styleId="Titolo4">
    <w:name w:val="heading 4"/>
    <w:basedOn w:val="Standard"/>
    <w:next w:val="Standard"/>
    <w:pPr>
      <w:keepNext/>
      <w:keepLines/>
      <w:spacing w:before="40" w:after="0"/>
      <w:outlineLvl w:val="3"/>
    </w:pPr>
    <w:rPr>
      <w:rFonts w:ascii="Calibri Light" w:eastAsia="Calibri Light" w:hAnsi="Calibri Light" w:cs="Calibri Light"/>
      <w:i/>
      <w:iCs/>
      <w:color w:val="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itolo">
    <w:name w:val="Title"/>
    <w:basedOn w:val="Standard"/>
    <w:next w:val="Textbody"/>
    <w:pPr>
      <w:keepNext/>
      <w:spacing w:before="240" w:after="120"/>
    </w:pPr>
    <w:rPr>
      <w:rFonts w:ascii="Liberation Sans" w:eastAsia="Microsoft YaHei" w:hAnsi="Liberation Sans" w:cs="Mangal"/>
      <w:sz w:val="28"/>
      <w:szCs w:val="28"/>
    </w:rPr>
  </w:style>
  <w:style w:type="paragraph" w:styleId="Paragrafoelenco">
    <w:name w:val="List Paragraph"/>
    <w:basedOn w:val="Standard"/>
    <w:pPr>
      <w:spacing w:after="200" w:line="276" w:lineRule="auto"/>
      <w:ind w:left="720"/>
    </w:pPr>
    <w:rPr>
      <w:rFonts w:cs="Times New Roman"/>
    </w:rPr>
  </w:style>
  <w:style w:type="paragraph" w:customStyle="1" w:styleId="Textbodyindent">
    <w:name w:val="Text body indent"/>
    <w:basedOn w:val="Standard"/>
    <w:pPr>
      <w:spacing w:after="0" w:line="240" w:lineRule="auto"/>
      <w:ind w:left="360"/>
    </w:pPr>
    <w:rPr>
      <w:rFonts w:ascii="Times New Roman" w:eastAsia="Times New Roman" w:hAnsi="Times New Roman" w:cs="Times New Roman"/>
      <w:sz w:val="24"/>
      <w:szCs w:val="24"/>
      <w:lang w:eastAsia="it-IT"/>
    </w:rPr>
  </w:style>
  <w:style w:type="paragraph" w:customStyle="1" w:styleId="Documento">
    <w:name w:val="Documento"/>
    <w:basedOn w:val="Standard"/>
    <w:pPr>
      <w:widowControl w:val="0"/>
      <w:spacing w:after="0" w:line="240" w:lineRule="auto"/>
      <w:jc w:val="both"/>
    </w:pPr>
    <w:rPr>
      <w:rFonts w:ascii="Times New Roman" w:eastAsia="Times New Roman" w:hAnsi="Times New Roman" w:cs="Times New Roman"/>
      <w:szCs w:val="20"/>
      <w:lang w:eastAsia="it-IT"/>
    </w:rPr>
  </w:style>
  <w:style w:type="paragraph" w:styleId="Testofumetto">
    <w:name w:val="Balloon Text"/>
    <w:basedOn w:val="Standard"/>
    <w:pPr>
      <w:spacing w:after="0" w:line="240" w:lineRule="auto"/>
    </w:pPr>
    <w:rPr>
      <w:rFonts w:ascii="Segoe UI" w:eastAsia="Segoe UI" w:hAnsi="Segoe UI" w:cs="Segoe UI"/>
      <w:sz w:val="18"/>
      <w:szCs w:val="18"/>
    </w:rPr>
  </w:style>
  <w:style w:type="paragraph" w:styleId="Testocommento">
    <w:name w:val="annotation text"/>
    <w:basedOn w:val="Standard"/>
    <w:pPr>
      <w:spacing w:line="240" w:lineRule="auto"/>
    </w:pPr>
    <w:rPr>
      <w:sz w:val="20"/>
      <w:szCs w:val="20"/>
    </w:rPr>
  </w:style>
  <w:style w:type="paragraph" w:styleId="Soggettocommento">
    <w:name w:val="annotation subject"/>
    <w:basedOn w:val="Testocommento"/>
    <w:next w:val="Testocommento"/>
    <w:rPr>
      <w:b/>
      <w:bCs/>
    </w:rPr>
  </w:style>
  <w:style w:type="paragraph" w:customStyle="1" w:styleId="HeaderandFooter">
    <w:name w:val="Header and Footer"/>
    <w:basedOn w:val="Standard"/>
  </w:style>
  <w:style w:type="paragraph" w:styleId="Intestazione">
    <w:name w:val="header"/>
    <w:basedOn w:val="Standard"/>
    <w:pPr>
      <w:tabs>
        <w:tab w:val="center" w:pos="4819"/>
        <w:tab w:val="right" w:pos="9638"/>
      </w:tabs>
      <w:spacing w:after="0" w:line="240" w:lineRule="auto"/>
    </w:pPr>
  </w:style>
  <w:style w:type="paragraph" w:styleId="Pidipagina">
    <w:name w:val="footer"/>
    <w:basedOn w:val="Standard"/>
    <w:pPr>
      <w:tabs>
        <w:tab w:val="center" w:pos="4819"/>
        <w:tab w:val="right" w:pos="9638"/>
      </w:tabs>
      <w:spacing w:after="0" w:line="240" w:lineRule="auto"/>
    </w:pPr>
  </w:style>
  <w:style w:type="character" w:customStyle="1" w:styleId="Titolo1Carattere">
    <w:name w:val="Titolo 1 Carattere"/>
    <w:basedOn w:val="Carpredefinitoparagrafo"/>
    <w:rPr>
      <w:rFonts w:ascii="Times New Roman" w:eastAsia="Times New Roman" w:hAnsi="Times New Roman" w:cs="Times New Roman"/>
      <w:b/>
      <w:bCs/>
      <w:sz w:val="24"/>
      <w:szCs w:val="24"/>
      <w:u w:val="single"/>
      <w:lang w:eastAsia="it-IT"/>
    </w:rPr>
  </w:style>
  <w:style w:type="character" w:customStyle="1" w:styleId="Titolo2Carattere">
    <w:name w:val="Titolo 2 Carattere"/>
    <w:basedOn w:val="Carpredefinitoparagrafo"/>
    <w:rPr>
      <w:rFonts w:ascii="Calibri Light" w:eastAsia="Calibri" w:hAnsi="Calibri Light" w:cs="Tahoma"/>
      <w:color w:val="2E74B5"/>
      <w:sz w:val="26"/>
      <w:szCs w:val="26"/>
    </w:rPr>
  </w:style>
  <w:style w:type="character" w:customStyle="1" w:styleId="Titolo3Carattere">
    <w:name w:val="Titolo 3 Carattere"/>
    <w:basedOn w:val="Carpredefinitoparagrafo"/>
    <w:rPr>
      <w:rFonts w:ascii="Calibri Light" w:eastAsia="Calibri" w:hAnsi="Calibri Light" w:cs="Tahoma"/>
      <w:color w:val="1F4D78"/>
      <w:sz w:val="24"/>
      <w:szCs w:val="24"/>
    </w:rPr>
  </w:style>
  <w:style w:type="character" w:customStyle="1" w:styleId="Titolo4Carattere">
    <w:name w:val="Titolo 4 Carattere"/>
    <w:basedOn w:val="Carpredefinitoparagrafo"/>
    <w:rPr>
      <w:rFonts w:ascii="Calibri Light" w:eastAsia="Calibri" w:hAnsi="Calibri Light" w:cs="Tahoma"/>
      <w:i/>
      <w:iCs/>
      <w:color w:val="2E74B5"/>
    </w:rPr>
  </w:style>
  <w:style w:type="character" w:customStyle="1" w:styleId="RientrocorpodeltestoCarattere">
    <w:name w:val="Rientro corpo del testo Carattere"/>
    <w:basedOn w:val="Carpredefinitoparagrafo"/>
    <w:rPr>
      <w:rFonts w:ascii="Times New Roman" w:eastAsia="Times New Roman" w:hAnsi="Times New Roman" w:cs="Times New Roman"/>
      <w:sz w:val="24"/>
      <w:szCs w:val="24"/>
      <w:lang w:eastAsia="it-IT"/>
    </w:rPr>
  </w:style>
  <w:style w:type="character" w:customStyle="1" w:styleId="Internetlink">
    <w:name w:val="Internet link"/>
    <w:basedOn w:val="Carpredefinitoparagrafo"/>
    <w:rPr>
      <w:color w:val="0563C1"/>
      <w:u w:val="single"/>
    </w:rPr>
  </w:style>
  <w:style w:type="character" w:customStyle="1" w:styleId="TestofumettoCarattere">
    <w:name w:val="Testo fumetto Carattere"/>
    <w:basedOn w:val="Carpredefinitoparagrafo"/>
    <w:rPr>
      <w:rFonts w:ascii="Segoe UI" w:eastAsia="Segoe UI" w:hAnsi="Segoe UI" w:cs="Segoe UI"/>
      <w:sz w:val="18"/>
      <w:szCs w:val="18"/>
    </w:rPr>
  </w:style>
  <w:style w:type="character" w:customStyle="1" w:styleId="TestocommentoCarattere">
    <w:name w:val="Testo commento Carattere"/>
    <w:basedOn w:val="Carpredefinitoparagrafo"/>
    <w:rPr>
      <w:sz w:val="20"/>
      <w:szCs w:val="20"/>
    </w:rPr>
  </w:style>
  <w:style w:type="character" w:styleId="Rimandocommento">
    <w:name w:val="annotation reference"/>
    <w:basedOn w:val="Carpredefinitoparagrafo"/>
    <w:rPr>
      <w:sz w:val="16"/>
      <w:szCs w:val="16"/>
    </w:rPr>
  </w:style>
  <w:style w:type="character" w:customStyle="1" w:styleId="SoggettocommentoCarattere">
    <w:name w:val="Soggetto commento Carattere"/>
    <w:basedOn w:val="TestocommentoCarattere"/>
    <w:rPr>
      <w:b/>
      <w:bCs/>
      <w:sz w:val="20"/>
      <w:szCs w:val="20"/>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ListLabel1">
    <w:name w:val="ListLabel 1"/>
    <w:rPr>
      <w:rFonts w:cs="Verdana"/>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color w:val="auto"/>
    </w:rPr>
  </w:style>
  <w:style w:type="character" w:customStyle="1" w:styleId="ListLabel11">
    <w:name w:val="ListLabel 11"/>
    <w:rPr>
      <w:rFonts w:cs="Times New Roman"/>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b w:val="0"/>
    </w:rPr>
  </w:style>
  <w:style w:type="character" w:customStyle="1" w:styleId="ListLabel20">
    <w:name w:val="ListLabel 20"/>
    <w:rPr>
      <w:rFonts w:cs="Verdana"/>
    </w:rPr>
  </w:style>
  <w:style w:type="character" w:customStyle="1" w:styleId="ListLabel21">
    <w:name w:val="ListLabel 21"/>
    <w:rPr>
      <w:rFonts w:cs="Courier New"/>
    </w:rPr>
  </w:style>
  <w:style w:type="character" w:customStyle="1" w:styleId="ListLabel22">
    <w:name w:val="ListLabel 22"/>
    <w:rPr>
      <w:rFonts w:cs="Wingdings"/>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Courier New"/>
    </w:rPr>
  </w:style>
  <w:style w:type="character" w:customStyle="1" w:styleId="ListLabel28">
    <w:name w:val="ListLabel 28"/>
    <w:rPr>
      <w:rFonts w:cs="Wingdings"/>
    </w:rPr>
  </w:style>
  <w:style w:type="character" w:customStyle="1" w:styleId="ListLabel29">
    <w:name w:val="ListLabel 29"/>
    <w:rPr>
      <w:rFonts w:cs="Symbol"/>
    </w:rPr>
  </w:style>
  <w:style w:type="character" w:customStyle="1" w:styleId="ListLabel30">
    <w:name w:val="ListLabel 30"/>
    <w:rPr>
      <w:rFonts w:cs="Courier New"/>
    </w:rPr>
  </w:style>
  <w:style w:type="character" w:customStyle="1" w:styleId="ListLabel31">
    <w:name w:val="ListLabel 31"/>
    <w:rPr>
      <w:rFonts w:cs="Wingdings"/>
    </w:rPr>
  </w:style>
  <w:style w:type="character" w:customStyle="1" w:styleId="ListLabel32">
    <w:name w:val="ListLabel 32"/>
    <w:rPr>
      <w:rFonts w:cs="Symbol"/>
    </w:rPr>
  </w:style>
  <w:style w:type="character" w:customStyle="1" w:styleId="ListLabel33">
    <w:name w:val="ListLabel 33"/>
    <w:rPr>
      <w:rFonts w:cs="Courier New"/>
    </w:rPr>
  </w:style>
  <w:style w:type="character" w:customStyle="1" w:styleId="ListLabel34">
    <w:name w:val="ListLabel 34"/>
    <w:rPr>
      <w:rFonts w:cs="Wingdings"/>
    </w:rPr>
  </w:style>
  <w:style w:type="character" w:customStyle="1" w:styleId="ListLabel35">
    <w:name w:val="ListLabel 35"/>
    <w:rPr>
      <w:rFonts w:cs="Symbol"/>
    </w:rPr>
  </w:style>
  <w:style w:type="character" w:customStyle="1" w:styleId="ListLabel36">
    <w:name w:val="ListLabel 36"/>
    <w:rPr>
      <w:rFonts w:cs="Courier New"/>
    </w:rPr>
  </w:style>
  <w:style w:type="character" w:customStyle="1" w:styleId="ListLabel37">
    <w:name w:val="ListLabel 37"/>
    <w:rPr>
      <w:rFonts w:cs="Wingdings"/>
    </w:rPr>
  </w:style>
  <w:style w:type="character" w:customStyle="1" w:styleId="ListLabel38">
    <w:name w:val="ListLabel 38"/>
    <w:rPr>
      <w:rFonts w:cs="Symbol"/>
    </w:rPr>
  </w:style>
  <w:style w:type="character" w:customStyle="1" w:styleId="ListLabel39">
    <w:name w:val="ListLabel 39"/>
    <w:rPr>
      <w:rFonts w:cs="Courier New"/>
    </w:rPr>
  </w:style>
  <w:style w:type="character" w:customStyle="1" w:styleId="ListLabel40">
    <w:name w:val="ListLabel 40"/>
    <w:rPr>
      <w:rFonts w:cs="Wingdings"/>
    </w:rPr>
  </w:style>
  <w:style w:type="character" w:customStyle="1" w:styleId="ListLabel41">
    <w:name w:val="ListLabel 41"/>
    <w:rPr>
      <w:rFonts w:cs="Symbol"/>
    </w:rPr>
  </w:style>
  <w:style w:type="character" w:customStyle="1" w:styleId="ListLabel42">
    <w:name w:val="ListLabel 42"/>
    <w:rPr>
      <w:rFonts w:cs="Courier New"/>
    </w:rPr>
  </w:style>
  <w:style w:type="character" w:customStyle="1" w:styleId="ListLabel43">
    <w:name w:val="ListLabel 43"/>
    <w:rPr>
      <w:rFonts w:cs="Wingdings"/>
    </w:rPr>
  </w:style>
  <w:style w:type="character" w:customStyle="1" w:styleId="ListLabel44">
    <w:name w:val="ListLabel 44"/>
    <w:rPr>
      <w:rFonts w:cs="Symbol"/>
    </w:rPr>
  </w:style>
  <w:style w:type="character" w:customStyle="1" w:styleId="ListLabel45">
    <w:name w:val="ListLabel 45"/>
    <w:rPr>
      <w:rFonts w:cs="Courier New"/>
    </w:rPr>
  </w:style>
  <w:style w:type="character" w:customStyle="1" w:styleId="ListLabel46">
    <w:name w:val="ListLabel 46"/>
    <w:rPr>
      <w:rFonts w:cs="Wingdings"/>
    </w:rPr>
  </w:style>
  <w:style w:type="character" w:customStyle="1" w:styleId="ListLabel47">
    <w:name w:val="ListLabel 47"/>
    <w:rPr>
      <w:rFonts w:cs="Symbol"/>
    </w:rPr>
  </w:style>
  <w:style w:type="character" w:customStyle="1" w:styleId="ListLabel48">
    <w:name w:val="ListLabel 48"/>
    <w:rPr>
      <w:rFonts w:cs="Courier New"/>
    </w:rPr>
  </w:style>
  <w:style w:type="character" w:customStyle="1" w:styleId="ListLabel49">
    <w:name w:val="ListLabel 49"/>
    <w:rPr>
      <w:rFonts w:cs="Wingdings"/>
    </w:rPr>
  </w:style>
  <w:style w:type="character" w:customStyle="1" w:styleId="ListLabel50">
    <w:name w:val="ListLabel 50"/>
    <w:rPr>
      <w:rFonts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rFonts w:cs="Symbol"/>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color w:val="auto"/>
    </w:rPr>
  </w:style>
  <w:style w:type="character" w:customStyle="1" w:styleId="ListLabel57">
    <w:name w:val="ListLabel 57"/>
    <w:rPr>
      <w:rFonts w:cs="Times New Roman"/>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w w:val="99"/>
      <w:lang w:val="it-IT" w:eastAsia="en-US" w:bidi="ar-SA"/>
    </w:rPr>
  </w:style>
  <w:style w:type="character" w:customStyle="1" w:styleId="ListLabel66">
    <w:name w:val="ListLabel 66"/>
    <w:rPr>
      <w:lang w:val="it-IT" w:eastAsia="en-US" w:bidi="ar-SA"/>
    </w:rPr>
  </w:style>
  <w:style w:type="character" w:customStyle="1" w:styleId="ListLabel67">
    <w:name w:val="ListLabel 67"/>
    <w:rPr>
      <w:lang w:val="it-IT" w:eastAsia="en-US" w:bidi="ar-SA"/>
    </w:rPr>
  </w:style>
  <w:style w:type="character" w:customStyle="1" w:styleId="ListLabel68">
    <w:name w:val="ListLabel 68"/>
    <w:rPr>
      <w:lang w:val="it-IT" w:eastAsia="en-US" w:bidi="ar-SA"/>
    </w:rPr>
  </w:style>
  <w:style w:type="character" w:customStyle="1" w:styleId="ListLabel69">
    <w:name w:val="ListLabel 69"/>
    <w:rPr>
      <w:lang w:val="it-IT" w:eastAsia="en-US" w:bidi="ar-SA"/>
    </w:rPr>
  </w:style>
  <w:style w:type="character" w:customStyle="1" w:styleId="ListLabel70">
    <w:name w:val="ListLabel 70"/>
    <w:rPr>
      <w:lang w:val="it-IT" w:eastAsia="en-US" w:bidi="ar-SA"/>
    </w:rPr>
  </w:style>
  <w:style w:type="character" w:customStyle="1" w:styleId="ListLabel71">
    <w:name w:val="ListLabel 71"/>
    <w:rPr>
      <w:lang w:val="it-IT" w:eastAsia="en-US" w:bidi="ar-SA"/>
    </w:rPr>
  </w:style>
  <w:style w:type="character" w:customStyle="1" w:styleId="ListLabel72">
    <w:name w:val="ListLabel 72"/>
    <w:rPr>
      <w:lang w:val="it-IT" w:eastAsia="en-US" w:bidi="ar-SA"/>
    </w:rPr>
  </w:style>
  <w:style w:type="character" w:customStyle="1" w:styleId="ListLabel73">
    <w:name w:val="ListLabel 73"/>
    <w:rPr>
      <w:lang w:val="it-IT" w:eastAsia="en-US" w:bidi="ar-SA"/>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numbering" w:customStyle="1" w:styleId="WWNum9">
    <w:name w:val="WWNum9"/>
    <w:basedOn w:val="Nessunelenco"/>
    <w:pPr>
      <w:numPr>
        <w:numId w:val="10"/>
      </w:numPr>
    </w:pPr>
  </w:style>
  <w:style w:type="numbering" w:customStyle="1" w:styleId="WWNum10">
    <w:name w:val="WWNum10"/>
    <w:basedOn w:val="Nessunelenco"/>
    <w:pPr>
      <w:numPr>
        <w:numId w:val="11"/>
      </w:numPr>
    </w:pPr>
  </w:style>
  <w:style w:type="numbering" w:customStyle="1" w:styleId="WWNum11">
    <w:name w:val="WWNum11"/>
    <w:basedOn w:val="Nessunelenco"/>
    <w:pPr>
      <w:numPr>
        <w:numId w:val="12"/>
      </w:numPr>
    </w:pPr>
  </w:style>
  <w:style w:type="numbering" w:customStyle="1" w:styleId="WWNum12">
    <w:name w:val="WWNum12"/>
    <w:basedOn w:val="Nessunelenco"/>
    <w:pPr>
      <w:numPr>
        <w:numId w:val="13"/>
      </w:numPr>
    </w:pPr>
  </w:style>
  <w:style w:type="numbering" w:customStyle="1" w:styleId="WWNum13">
    <w:name w:val="WWNum13"/>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inpiemonte@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2407</Words>
  <Characters>13723</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Longo</dc:creator>
  <cp:lastModifiedBy>Santomauro Sabina</cp:lastModifiedBy>
  <cp:revision>9</cp:revision>
  <cp:lastPrinted>2019-10-21T10:32:00Z</cp:lastPrinted>
  <dcterms:created xsi:type="dcterms:W3CDTF">2023-11-16T12:01:00Z</dcterms:created>
  <dcterms:modified xsi:type="dcterms:W3CDTF">2023-12-11T10:50:00Z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ies>
</file>