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6120765" cy="70739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120765" cy="707390"/>
                    </a:xfrm>
                    <a:prstGeom prst="rect">
                      <a:avLst/>
                    </a:prstGeom>
                  </pic:spPr>
                </pic:pic>
              </a:graphicData>
            </a:graphic>
          </wp:inline>
        </w:drawing>
      </w:r>
    </w:p>
    <w:p>
      <w:pPr>
        <w:pStyle w:val="Normal"/>
        <w:rPr/>
      </w:pPr>
      <w:r>
        <w:rPr/>
      </w:r>
    </w:p>
    <w:p>
      <w:pPr>
        <w:pStyle w:val="Normal"/>
        <w:suppressAutoHyphens w:val="true"/>
        <w:spacing w:lineRule="auto" w:line="276" w:before="0" w:after="0"/>
        <w:jc w:val="center"/>
        <w:textAlignment w:val="baseline"/>
        <w:rPr>
          <w:sz w:val="30"/>
          <w:szCs w:val="30"/>
        </w:rPr>
      </w:pPr>
      <w:r>
        <w:rPr>
          <w:b/>
          <w:sz w:val="30"/>
          <w:szCs w:val="30"/>
        </w:rPr>
        <w:t>Relazione di sintesi dei contenuti progettuali</w:t>
      </w:r>
    </w:p>
    <w:p>
      <w:pPr>
        <w:pStyle w:val="Normal"/>
        <w:suppressAutoHyphens w:val="true"/>
        <w:spacing w:lineRule="auto" w:line="276" w:before="0" w:after="0"/>
        <w:jc w:val="center"/>
        <w:textAlignment w:val="baseline"/>
        <w:rPr>
          <w:b/>
          <w:i/>
          <w:i/>
          <w:sz w:val="30"/>
          <w:szCs w:val="30"/>
        </w:rPr>
      </w:pPr>
      <w:r>
        <w:rPr>
          <w:b/>
          <w:i/>
          <w:sz w:val="30"/>
          <w:szCs w:val="30"/>
        </w:rPr>
        <w:t>(non eccedente le 10 facciate formato A4)</w:t>
      </w:r>
    </w:p>
    <w:p>
      <w:pPr>
        <w:pStyle w:val="Normal"/>
        <w:suppressAutoHyphens w:val="true"/>
        <w:spacing w:lineRule="auto" w:line="276" w:before="0" w:after="0"/>
        <w:jc w:val="center"/>
        <w:textAlignment w:val="baseline"/>
        <w:rPr>
          <w:b/>
          <w:i/>
          <w:i/>
          <w:sz w:val="30"/>
          <w:szCs w:val="30"/>
        </w:rPr>
      </w:pPr>
      <w:r>
        <w:rPr>
          <w:b/>
          <w:i/>
          <w:sz w:val="30"/>
          <w:szCs w:val="30"/>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76" w:before="0" w:after="0"/>
              <w:jc w:val="center"/>
              <w:textAlignment w:val="baseline"/>
              <w:rPr>
                <w:rFonts w:ascii="Calibri" w:hAnsi="Calibri"/>
                <w:b/>
                <w:sz w:val="24"/>
                <w:szCs w:val="24"/>
                <w:u w:val="single"/>
              </w:rPr>
            </w:pPr>
            <w:r>
              <w:rPr>
                <w:rFonts w:eastAsia="Calibri" w:cs=""/>
                <w:b/>
                <w:kern w:val="0"/>
                <w:sz w:val="24"/>
                <w:szCs w:val="24"/>
                <w:u w:val="single"/>
                <w:lang w:val="it-IT" w:eastAsia="en-US" w:bidi="ar-SA"/>
              </w:rPr>
              <w:t>(Rif. 8.2 Bando) 2. Tipologia di stazione sciistica interessata dall’intervento</w:t>
            </w:r>
          </w:p>
          <w:p>
            <w:pPr>
              <w:pStyle w:val="Normal"/>
              <w:widowControl/>
              <w:suppressAutoHyphens w:val="true"/>
              <w:spacing w:lineRule="auto" w:line="276" w:before="0" w:after="0"/>
              <w:jc w:val="center"/>
              <w:textAlignment w:val="baseline"/>
              <w:rPr>
                <w:b/>
                <w:i/>
                <w:i/>
                <w:sz w:val="30"/>
                <w:szCs w:val="30"/>
              </w:rPr>
            </w:pPr>
            <w:r>
              <w:rPr>
                <w:b/>
                <w:i/>
                <w:sz w:val="30"/>
                <w:szCs w:val="30"/>
              </w:rPr>
            </w:r>
          </w:p>
        </w:tc>
      </w:tr>
      <w:tr>
        <w:trPr/>
        <w:tc>
          <w:tcPr>
            <w:tcW w:w="9628" w:type="dxa"/>
            <w:tcBorders/>
          </w:tcPr>
          <w:p>
            <w:pPr>
              <w:pStyle w:val="Normal"/>
              <w:widowControl/>
              <w:suppressAutoHyphens w:val="true"/>
              <w:spacing w:lineRule="auto" w:line="276" w:before="0" w:after="0"/>
              <w:jc w:val="left"/>
              <w:textAlignment w:val="baseline"/>
              <w:rPr>
                <w:rFonts w:ascii="Calibri" w:hAnsi="Calibri"/>
                <w:b/>
                <w:sz w:val="16"/>
                <w:szCs w:val="16"/>
              </w:rPr>
            </w:pPr>
            <w:r>
              <w:rPr>
                <w:rFonts w:eastAsia="Calibri" w:cs=""/>
                <w:b/>
                <w:kern w:val="0"/>
                <w:sz w:val="16"/>
                <w:szCs w:val="16"/>
                <w:lang w:val="it-IT" w:eastAsia="en-US" w:bidi="ar-SA"/>
              </w:rPr>
              <w:t>Indicare e descrivere brevemente la tipologia di stazione sciistica interessata dal progetto (rif. paragrafo 5 BANDO INVESTIMENTI SISTEMA NEVE REGIONE PIEMONTE 2025</w:t>
            </w:r>
            <w:bookmarkStart w:id="0" w:name="_GoBack"/>
            <w:bookmarkEnd w:id="0"/>
            <w:r>
              <w:rPr>
                <w:rFonts w:eastAsia="Calibri" w:cs=""/>
                <w:b/>
                <w:kern w:val="0"/>
                <w:sz w:val="16"/>
                <w:szCs w:val="16"/>
                <w:lang w:val="it-IT" w:eastAsia="en-US" w:bidi="ar-SA"/>
              </w:rPr>
              <w:t>-2030</w:t>
            </w:r>
          </w:p>
          <w:p>
            <w:pPr>
              <w:pStyle w:val="Normal"/>
              <w:widowControl/>
              <w:suppressAutoHyphens w:val="true"/>
              <w:spacing w:lineRule="auto" w:line="276" w:before="0" w:after="0"/>
              <w:jc w:val="left"/>
              <w:textAlignment w:val="baseline"/>
              <w:rPr>
                <w:rFonts w:ascii="Calibri" w:hAnsi="Calibri"/>
                <w:b/>
                <w:sz w:val="16"/>
                <w:szCs w:val="16"/>
              </w:rPr>
            </w:pPr>
            <w:r>
              <w:rPr>
                <w:b/>
                <w:sz w:val="16"/>
                <w:szCs w:val="16"/>
              </w:rPr>
            </w:r>
          </w:p>
          <w:p>
            <w:pPr>
              <w:pStyle w:val="ListParagraph"/>
              <w:widowControl/>
              <w:numPr>
                <w:ilvl w:val="0"/>
                <w:numId w:val="2"/>
              </w:numPr>
              <w:suppressAutoHyphens w:val="true"/>
              <w:spacing w:lineRule="auto" w:line="276" w:before="0" w:after="0"/>
              <w:contextualSpacing/>
              <w:jc w:val="left"/>
              <w:textAlignment w:val="baseline"/>
              <w:rPr>
                <w:rFonts w:ascii="Calibri" w:hAnsi="Calibri"/>
                <w:b/>
                <w:sz w:val="16"/>
                <w:szCs w:val="16"/>
              </w:rPr>
            </w:pPr>
            <w:r>
              <w:rPr>
                <w:rFonts w:eastAsia="Calibri" w:cs=""/>
                <w:b/>
                <w:kern w:val="0"/>
                <w:sz w:val="16"/>
                <w:szCs w:val="16"/>
                <w:lang w:val="it-IT" w:eastAsia="en-US" w:bidi="ar-SA"/>
              </w:rPr>
              <w:t>Grandi stazioni (locali e non locali)</w:t>
            </w:r>
          </w:p>
          <w:p>
            <w:pPr>
              <w:pStyle w:val="ListParagraph"/>
              <w:widowControl/>
              <w:numPr>
                <w:ilvl w:val="0"/>
                <w:numId w:val="2"/>
              </w:numPr>
              <w:suppressAutoHyphens w:val="true"/>
              <w:spacing w:lineRule="auto" w:line="276" w:before="0" w:after="0"/>
              <w:contextualSpacing/>
              <w:jc w:val="left"/>
              <w:textAlignment w:val="baseline"/>
              <w:rPr>
                <w:rFonts w:ascii="Calibri" w:hAnsi="Calibri"/>
                <w:b/>
                <w:sz w:val="16"/>
                <w:szCs w:val="16"/>
              </w:rPr>
            </w:pPr>
            <w:r>
              <w:rPr>
                <w:rFonts w:eastAsia="Calibri" w:cs=""/>
                <w:b/>
                <w:kern w:val="0"/>
                <w:sz w:val="16"/>
                <w:szCs w:val="16"/>
                <w:lang w:val="it-IT" w:eastAsia="en-US" w:bidi="ar-SA"/>
              </w:rPr>
              <w:t>Microstazioni</w:t>
            </w:r>
          </w:p>
          <w:p>
            <w:pPr>
              <w:pStyle w:val="Normal"/>
              <w:widowControl/>
              <w:suppressAutoHyphens w:val="true"/>
              <w:spacing w:lineRule="auto" w:line="276" w:before="0" w:after="0"/>
              <w:jc w:val="left"/>
              <w:textAlignment w:val="baseline"/>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76" w:before="0" w:after="0"/>
              <w:jc w:val="left"/>
              <w:textAlignment w:val="baseline"/>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tc>
      </w:tr>
    </w:tbl>
    <w:p>
      <w:pPr>
        <w:pStyle w:val="Normal"/>
        <w:suppressAutoHyphens w:val="true"/>
        <w:spacing w:lineRule="auto" w:line="276" w:before="0" w:after="0"/>
        <w:jc w:val="center"/>
        <w:textAlignment w:val="baseline"/>
        <w:rPr>
          <w:b/>
          <w:i/>
          <w:i/>
          <w:sz w:val="30"/>
          <w:szCs w:val="30"/>
        </w:rPr>
      </w:pPr>
      <w:r>
        <w:rPr>
          <w:b/>
          <w:i/>
          <w:sz w:val="30"/>
          <w:szCs w:val="30"/>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76" w:before="0" w:after="0"/>
              <w:jc w:val="center"/>
              <w:textAlignment w:val="baseline"/>
              <w:rPr>
                <w:rFonts w:ascii="Calibri" w:hAnsi="Calibri"/>
                <w:b/>
                <w:sz w:val="24"/>
                <w:szCs w:val="24"/>
                <w:u w:val="single"/>
              </w:rPr>
            </w:pPr>
            <w:r>
              <w:rPr>
                <w:rFonts w:eastAsia="Calibri" w:cs=""/>
                <w:b/>
                <w:kern w:val="0"/>
                <w:sz w:val="24"/>
                <w:szCs w:val="24"/>
                <w:u w:val="single"/>
                <w:lang w:val="it-IT" w:eastAsia="en-US" w:bidi="ar-SA"/>
              </w:rPr>
              <w:t>(Rif. 8.2 Bando) 3. Domanda di contributo presentata in forma associata</w:t>
            </w:r>
          </w:p>
          <w:p>
            <w:pPr>
              <w:pStyle w:val="Normal"/>
              <w:widowControl/>
              <w:suppressAutoHyphens w:val="true"/>
              <w:spacing w:lineRule="auto" w:line="276" w:before="0" w:after="0"/>
              <w:jc w:val="center"/>
              <w:textAlignment w:val="baseline"/>
              <w:rPr>
                <w:b/>
                <w:i/>
                <w:i/>
                <w:sz w:val="30"/>
                <w:szCs w:val="30"/>
              </w:rPr>
            </w:pPr>
            <w:r>
              <w:rPr>
                <w:b/>
                <w:i/>
                <w:sz w:val="30"/>
                <w:szCs w:val="30"/>
              </w:rPr>
            </w:r>
          </w:p>
        </w:tc>
      </w:tr>
      <w:tr>
        <w:trPr/>
        <w:tc>
          <w:tcPr>
            <w:tcW w:w="9628" w:type="dxa"/>
            <w:tcBorders/>
          </w:tcPr>
          <w:p>
            <w:pPr>
              <w:pStyle w:val="Normal"/>
              <w:widowControl/>
              <w:suppressAutoHyphens w:val="true"/>
              <w:spacing w:lineRule="auto" w:line="276" w:before="0" w:after="0"/>
              <w:jc w:val="left"/>
              <w:textAlignment w:val="baseline"/>
              <w:rPr>
                <w:rFonts w:ascii="Calibri" w:hAnsi="Calibri"/>
                <w:b/>
                <w:sz w:val="16"/>
                <w:szCs w:val="16"/>
              </w:rPr>
            </w:pPr>
            <w:r>
              <w:rPr>
                <w:rFonts w:eastAsia="Calibri" w:cs=""/>
                <w:b/>
                <w:kern w:val="0"/>
                <w:sz w:val="16"/>
                <w:szCs w:val="16"/>
                <w:lang w:val="it-IT" w:eastAsia="en-US" w:bidi="ar-SA"/>
              </w:rPr>
              <w:t>Indicare e descrivere se la domanda è proposta con la presenza di enti locali in forma associata (almeno due, di cui uno capofila) o Unioni Montane per conto di almeno 2 dei Comuni aderenti all’Unione</w:t>
            </w:r>
          </w:p>
        </w:tc>
      </w:tr>
      <w:tr>
        <w:trPr/>
        <w:tc>
          <w:tcPr>
            <w:tcW w:w="9628" w:type="dxa"/>
            <w:tcBorders/>
          </w:tcPr>
          <w:p>
            <w:pPr>
              <w:pStyle w:val="Normal"/>
              <w:widowControl/>
              <w:suppressAutoHyphens w:val="true"/>
              <w:spacing w:lineRule="auto" w:line="276" w:before="0" w:after="0"/>
              <w:jc w:val="left"/>
              <w:textAlignment w:val="baseline"/>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p>
            <w:pPr>
              <w:pStyle w:val="Normal"/>
              <w:widowControl/>
              <w:suppressAutoHyphens w:val="true"/>
              <w:spacing w:lineRule="auto" w:line="276" w:before="0" w:after="0"/>
              <w:jc w:val="center"/>
              <w:textAlignment w:val="baseline"/>
              <w:rPr>
                <w:b/>
                <w:i/>
                <w:i/>
                <w:sz w:val="30"/>
                <w:szCs w:val="30"/>
              </w:rPr>
            </w:pPr>
            <w:r>
              <w:rPr>
                <w:b/>
                <w:i/>
                <w:sz w:val="30"/>
                <w:szCs w:val="30"/>
              </w:rPr>
            </w:r>
          </w:p>
        </w:tc>
      </w:tr>
    </w:tbl>
    <w:p>
      <w:pPr>
        <w:pStyle w:val="Normal"/>
        <w:suppressAutoHyphens w:val="true"/>
        <w:spacing w:lineRule="auto" w:line="276" w:before="0" w:after="0"/>
        <w:jc w:val="center"/>
        <w:textAlignment w:val="baseline"/>
        <w:rPr>
          <w:b/>
          <w:i/>
          <w:i/>
          <w:sz w:val="30"/>
          <w:szCs w:val="30"/>
        </w:rPr>
      </w:pPr>
      <w:r>
        <w:rPr>
          <w:b/>
          <w:i/>
          <w:sz w:val="30"/>
          <w:szCs w:val="30"/>
        </w:rPr>
      </w:r>
    </w:p>
    <w:p>
      <w:pPr>
        <w:pStyle w:val="Normal"/>
        <w:suppressAutoHyphens w:val="true"/>
        <w:spacing w:lineRule="auto" w:line="276" w:before="0" w:after="0"/>
        <w:jc w:val="center"/>
        <w:textAlignment w:val="baseline"/>
        <w:rPr>
          <w:b/>
          <w:i/>
          <w:i/>
          <w:sz w:val="30"/>
          <w:szCs w:val="30"/>
        </w:rPr>
      </w:pPr>
      <w:r>
        <w:rPr>
          <w:b/>
          <w:i/>
          <w:sz w:val="30"/>
          <w:szCs w:val="30"/>
        </w:rPr>
      </w:r>
    </w:p>
    <w:p>
      <w:pPr>
        <w:pStyle w:val="Normal"/>
        <w:suppressAutoHyphens w:val="true"/>
        <w:spacing w:lineRule="auto" w:line="276" w:before="0" w:after="0"/>
        <w:jc w:val="center"/>
        <w:textAlignment w:val="baseline"/>
        <w:rPr>
          <w:b/>
          <w:i/>
          <w:i/>
          <w:sz w:val="30"/>
          <w:szCs w:val="30"/>
        </w:rPr>
      </w:pPr>
      <w:r>
        <w:rPr>
          <w:b/>
          <w:i/>
          <w:sz w:val="30"/>
          <w:szCs w:val="30"/>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40" w:before="0" w:after="0"/>
              <w:jc w:val="center"/>
              <w:rPr>
                <w:rFonts w:ascii="Calibri" w:hAnsi="Calibri"/>
                <w:b/>
                <w:sz w:val="24"/>
                <w:szCs w:val="24"/>
                <w:u w:val="single"/>
              </w:rPr>
            </w:pPr>
            <w:r>
              <w:rPr>
                <w:rFonts w:eastAsia="Calibri" w:cs=""/>
                <w:b/>
                <w:kern w:val="0"/>
                <w:sz w:val="24"/>
                <w:szCs w:val="24"/>
                <w:u w:val="single"/>
                <w:lang w:val="it-IT" w:eastAsia="en-US" w:bidi="ar-SA"/>
              </w:rPr>
              <w:t>(Rif. 8.2 Bando) 4. Effetti dell’intervento sul territorio</w:t>
            </w:r>
          </w:p>
          <w:p>
            <w:pPr>
              <w:pStyle w:val="Normal"/>
              <w:widowControl/>
              <w:suppressAutoHyphens w:val="true"/>
              <w:spacing w:lineRule="auto" w:line="240" w:before="0" w:after="0"/>
              <w:jc w:val="center"/>
              <w:rPr>
                <w:rFonts w:ascii="Calibri" w:hAnsi="Calibri"/>
                <w:b/>
                <w:sz w:val="24"/>
                <w:szCs w:val="24"/>
                <w:u w:val="single"/>
              </w:rPr>
            </w:pPr>
            <w:r>
              <w:rPr>
                <w:b/>
                <w:sz w:val="24"/>
                <w:szCs w:val="24"/>
                <w:u w:val="single"/>
              </w:rPr>
            </w:r>
          </w:p>
        </w:tc>
      </w:tr>
      <w:tr>
        <w:trPr/>
        <w:tc>
          <w:tcPr>
            <w:tcW w:w="9628" w:type="dxa"/>
            <w:tcBorders/>
          </w:tcPr>
          <w:p>
            <w:pPr>
              <w:pStyle w:val="Normal"/>
              <w:widowControl/>
              <w:suppressAutoHyphens w:val="true"/>
              <w:spacing w:lineRule="auto" w:line="240" w:before="0" w:after="0"/>
              <w:jc w:val="left"/>
              <w:rPr>
                <w:rFonts w:ascii="Calibri" w:hAnsi="Calibri"/>
                <w:b/>
                <w:sz w:val="24"/>
                <w:szCs w:val="24"/>
                <w:u w:val="single"/>
              </w:rPr>
            </w:pPr>
            <w:r>
              <w:rPr>
                <w:rFonts w:eastAsia="Calibri" w:cs=""/>
                <w:b/>
                <w:kern w:val="0"/>
                <w:sz w:val="24"/>
                <w:szCs w:val="24"/>
                <w:u w:val="single"/>
                <w:lang w:val="it-IT" w:eastAsia="en-US" w:bidi="ar-SA"/>
              </w:rPr>
              <w:t>4.1 Ricadute attese sul territorio di riferimento in termini di maggiore attrattività turistica</w:t>
            </w:r>
          </w:p>
          <w:p>
            <w:pPr>
              <w:pStyle w:val="Normal"/>
              <w:widowControl/>
              <w:suppressAutoHyphens w:val="true"/>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76" w:before="0" w:after="0"/>
              <w:jc w:val="left"/>
              <w:textAlignment w:val="baseline"/>
              <w:rPr>
                <w:rFonts w:ascii="Calibri" w:hAnsi="Calibri" w:eastAsia="Calibri" w:cs=""/>
                <w:kern w:val="0"/>
                <w:sz w:val="22"/>
                <w:szCs w:val="22"/>
                <w:lang w:val="it-IT" w:eastAsia="en-US" w:bidi="ar-SA"/>
              </w:rPr>
            </w:pPr>
            <w:r>
              <w:rPr>
                <w:rFonts w:eastAsia="Calibri" w:cs=""/>
                <w:b/>
                <w:kern w:val="0"/>
                <w:sz w:val="16"/>
                <w:szCs w:val="16"/>
                <w:lang w:val="it-IT" w:eastAsia="en-US" w:bidi="ar-SA"/>
              </w:rPr>
              <w:t>Descrivere le previsioni di consolidamento e aumento di flussi e presenze turistiche basate su dati e proiezioni numeriche (ski-pass, alberghi e strutture ricettive extralberghiere, nr. arrivi, presenze, nr. posti letto, valore delle compravendite immobiliari, ecc.), preferibilmente desunti da fonti statistiche ufficiali; non saranno valutate mere descrizioni generiche delle ricadute attese, non suffragate da evidenze o proiezioni scientifiche.</w:t>
            </w:r>
          </w:p>
        </w:tc>
      </w:tr>
      <w:tr>
        <w:trPr/>
        <w:tc>
          <w:tcPr>
            <w:tcW w:w="9628" w:type="dxa"/>
            <w:tcBorders/>
          </w:tcPr>
          <w:p>
            <w:pPr>
              <w:pStyle w:val="Normal"/>
              <w:widowControl/>
              <w:suppressAutoHyphens w:val="true"/>
              <w:spacing w:lineRule="auto" w:line="276" w:before="0" w:after="0"/>
              <w:jc w:val="left"/>
              <w:textAlignment w:val="baseline"/>
              <w:rPr>
                <w:rFonts w:ascii="Calibri" w:hAnsi="Calibri"/>
                <w:sz w:val="16"/>
                <w:szCs w:val="16"/>
              </w:rPr>
            </w:pPr>
            <w:r>
              <w:rPr>
                <w:sz w:val="16"/>
                <w:szCs w:val="16"/>
              </w:rPr>
            </w:r>
          </w:p>
          <w:p>
            <w:pPr>
              <w:pStyle w:val="Normal"/>
              <w:widowControl/>
              <w:suppressAutoHyphens w:val="true"/>
              <w:spacing w:lineRule="auto" w:line="276" w:before="0" w:after="0"/>
              <w:jc w:val="left"/>
              <w:textAlignment w:val="baseline"/>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24"/>
                <w:szCs w:val="24"/>
                <w:u w:val="single"/>
              </w:rPr>
            </w:pPr>
            <w:r>
              <w:rPr>
                <w:rFonts w:eastAsia="Calibri" w:cs=""/>
                <w:b/>
                <w:kern w:val="0"/>
                <w:sz w:val="24"/>
                <w:szCs w:val="24"/>
                <w:u w:val="single"/>
                <w:lang w:val="it-IT" w:eastAsia="en-US" w:bidi="ar-SA"/>
              </w:rPr>
              <w:t>4.2 Ricadute attese sul territorio di riferimento in termini di maggiore occupazione e sviluppo delle attività economiche</w:t>
            </w:r>
          </w:p>
          <w:p>
            <w:pPr>
              <w:pStyle w:val="Normal"/>
              <w:widowControl/>
              <w:suppressAutoHyphens w:val="true"/>
              <w:spacing w:lineRule="auto" w:line="240" w:before="0" w:after="0"/>
              <w:jc w:val="both"/>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Discrezionale, con valutazione da parte della Commissione. Descrivere le previsioni di consolidamento e aumento dei dati relativi all’occupazione e alle attività economiche (procedure assunzionali, contratti di lavoro, sviluppo attività commerciali, artigianali e economiche, servizi, scuole e maestri di sci, ecc.), preferibilmente desunti da fonti statistiche ufficiali; non saranno valutate mere descrizioni generiche delle ricadute attese, non suffragate da evidenze o proiezioni scientifiche.</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76" w:before="0" w:after="0"/>
              <w:jc w:val="left"/>
              <w:textAlignment w:val="baseline"/>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tc>
      </w:tr>
    </w:tbl>
    <w:p>
      <w:pPr>
        <w:pStyle w:val="Normal"/>
        <w:jc w:val="both"/>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40" w:before="0" w:after="0"/>
              <w:jc w:val="center"/>
              <w:rPr>
                <w:rFonts w:ascii="Calibri" w:hAnsi="Calibri"/>
                <w:b/>
                <w:sz w:val="24"/>
                <w:szCs w:val="24"/>
                <w:u w:val="single"/>
              </w:rPr>
            </w:pPr>
            <w:r>
              <w:rPr>
                <w:rFonts w:eastAsia="Calibri" w:cs=""/>
                <w:b/>
                <w:kern w:val="0"/>
                <w:sz w:val="24"/>
                <w:szCs w:val="24"/>
                <w:u w:val="single"/>
                <w:lang w:val="it-IT" w:eastAsia="en-US" w:bidi="ar-SA"/>
              </w:rPr>
              <w:t>(Rif. 8.2 Bando) 5. Cantierabilità e sostenibilità dell’intervento</w:t>
            </w:r>
          </w:p>
          <w:p>
            <w:pPr>
              <w:pStyle w:val="Normal"/>
              <w:widowControl/>
              <w:suppressAutoHyphens w:val="true"/>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left"/>
              <w:rPr>
                <w:rFonts w:ascii="Calibri" w:hAnsi="Calibri"/>
                <w:b/>
                <w:sz w:val="24"/>
                <w:szCs w:val="24"/>
                <w:u w:val="single"/>
              </w:rPr>
            </w:pPr>
            <w:r>
              <w:rPr>
                <w:rFonts w:eastAsia="Calibri" w:cs=""/>
                <w:b/>
                <w:kern w:val="0"/>
                <w:sz w:val="24"/>
                <w:szCs w:val="24"/>
                <w:u w:val="single"/>
                <w:lang w:val="it-IT" w:eastAsia="en-US" w:bidi="ar-SA"/>
              </w:rPr>
              <w:t>5.1 Livello di progettazione</w:t>
            </w:r>
          </w:p>
          <w:p>
            <w:pPr>
              <w:pStyle w:val="Normal"/>
              <w:widowControl/>
              <w:suppressAutoHyphens w:val="true"/>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Descrivere l’eventuale presenza di:</w:t>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 progetto di fattibilità tecnico economica approvato all’atto della presentazione della domanda di contributo</w:t>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Oppure</w:t>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 presenza di progetto esecutivo approvato all’atto della presentazione della domanda di contributo</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In caso di interventi in PPP:</w:t>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 presenza della documentazione di cui all’art. 193 comma 3 del codice contratti pubblici (proposta di un operatore economico contenente un progetto di fattibilità, una bozza di convenzione, il piano economico-finanziario asseverato e la specificazione delle caratteristiche del servizio e della gestione e l’indicazione dei requisiti del promotore)</w:t>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Oppure</w:t>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 presenza di provvedimento dell’Ente concedente di approvazione del progetto di fattibilità (art. 193 comma 6 del codice dei contratti pubblici)</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Nb. In caso di mere forniture di beni costituenti investimento, con o senza posa in opera (es. acquisto cannoni, mezzi battipista, ecc.)</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b/>
                <w:kern w:val="0"/>
                <w:sz w:val="16"/>
                <w:szCs w:val="16"/>
                <w:lang w:val="it-IT" w:eastAsia="en-US" w:bidi="ar-SA"/>
              </w:rPr>
              <w:t>saranno assegnati 3 punti in presenza del progetto approvato di cui all’art. 41 comma 12 del D. Lgs. 36/2023.</w:t>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40" w:before="0" w:after="0"/>
              <w:jc w:val="left"/>
              <w:rPr>
                <w:rFonts w:ascii="Calibri" w:hAnsi="Calibri"/>
                <w:b/>
                <w:sz w:val="24"/>
                <w:szCs w:val="24"/>
                <w:u w:val="single"/>
              </w:rPr>
            </w:pPr>
            <w:r>
              <w:rPr>
                <w:rFonts w:eastAsia="Calibri" w:cs=""/>
                <w:b/>
                <w:kern w:val="0"/>
                <w:sz w:val="24"/>
                <w:szCs w:val="24"/>
                <w:u w:val="single"/>
                <w:lang w:val="it-IT" w:eastAsia="en-US" w:bidi="ar-SA"/>
              </w:rPr>
              <w:t>5.2 Sostenibilità tecnico-economica dell’intervento</w:t>
            </w:r>
          </w:p>
          <w:p>
            <w:pPr>
              <w:pStyle w:val="Normal"/>
              <w:widowControl/>
              <w:suppressAutoHyphens w:val="true"/>
              <w:spacing w:lineRule="auto" w:line="240" w:before="0" w:after="0"/>
              <w:jc w:val="left"/>
              <w:rPr>
                <w:rFonts w:ascii="Calibri" w:hAnsi="Calibri"/>
                <w:b/>
                <w:sz w:val="24"/>
                <w:szCs w:val="24"/>
                <w:u w:val="single"/>
              </w:rPr>
            </w:pPr>
            <w:r>
              <w:rPr>
                <w:b/>
                <w:sz w:val="24"/>
                <w:szCs w:val="24"/>
                <w:u w:val="single"/>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 xml:space="preserve">Descrivere </w:t>
            </w:r>
            <w:r>
              <w:rPr>
                <w:rFonts w:eastAsia="Calibri" w:cs=""/>
                <w:b/>
                <w:kern w:val="0"/>
                <w:sz w:val="16"/>
                <w:szCs w:val="16"/>
                <w:lang w:val="it-IT" w:eastAsia="en-US" w:bidi="ar-SA"/>
              </w:rPr>
              <w:t xml:space="preserve">compiutamente </w:t>
            </w:r>
            <w:r>
              <w:rPr>
                <w:rFonts w:eastAsia="Calibri" w:cs=""/>
                <w:b/>
                <w:kern w:val="0"/>
                <w:sz w:val="16"/>
                <w:szCs w:val="16"/>
                <w:lang w:val="it-IT" w:eastAsia="en-US" w:bidi="ar-SA"/>
              </w:rPr>
              <w:t>le soluzioni che si intendono adottare per garantire la sostenibilità economica e tecnica dell’intervento a seguito della sua realizzazione, per un arco temporale minimo di 10 anni.</w:t>
            </w:r>
          </w:p>
          <w:p>
            <w:pPr>
              <w:pStyle w:val="Normal"/>
              <w:widowControl/>
              <w:suppressAutoHyphens w:val="true"/>
              <w:spacing w:lineRule="auto" w:line="240" w:before="0" w:after="0"/>
              <w:jc w:val="both"/>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tc>
      </w:tr>
    </w:tbl>
    <w:p>
      <w:pPr>
        <w:pStyle w:val="Normal"/>
        <w:jc w:val="both"/>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40" w:before="0" w:after="0"/>
              <w:jc w:val="center"/>
              <w:rPr>
                <w:rFonts w:ascii="Calibri" w:hAnsi="Calibri" w:eastAsia="Calibri" w:cs=""/>
                <w:kern w:val="0"/>
                <w:sz w:val="22"/>
                <w:szCs w:val="22"/>
                <w:lang w:val="it-IT" w:eastAsia="en-US" w:bidi="ar-SA"/>
              </w:rPr>
            </w:pPr>
            <w:r>
              <w:rPr>
                <w:rFonts w:eastAsia="Calibri" w:cs=""/>
                <w:b/>
                <w:kern w:val="0"/>
                <w:sz w:val="24"/>
                <w:szCs w:val="24"/>
                <w:u w:val="single"/>
                <w:lang w:val="it-IT" w:eastAsia="en-US" w:bidi="ar-SA"/>
              </w:rPr>
              <w:t>(Rif. 8.2 Bando) 6. Scadenza interventi di revisione generale o ispezione speciale impianti di risalita</w:t>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Indicare e argomentare l’eventuale presenza di:</w:t>
            </w:r>
          </w:p>
          <w:p>
            <w:pPr>
              <w:pStyle w:val="ListParagraph"/>
              <w:widowControl/>
              <w:numPr>
                <w:ilvl w:val="0"/>
                <w:numId w:val="1"/>
              </w:numPr>
              <w:suppressAutoHyphens w:val="true"/>
              <w:spacing w:lineRule="auto" w:line="240" w:before="0" w:after="0"/>
              <w:contextualSpacing/>
              <w:jc w:val="both"/>
              <w:rPr>
                <w:rFonts w:ascii="Calibri" w:hAnsi="Calibri"/>
                <w:b/>
                <w:sz w:val="16"/>
                <w:szCs w:val="16"/>
              </w:rPr>
            </w:pPr>
            <w:r>
              <w:rPr>
                <w:rFonts w:eastAsia="Calibri" w:cs=""/>
                <w:b/>
                <w:kern w:val="0"/>
                <w:sz w:val="16"/>
                <w:szCs w:val="16"/>
                <w:lang w:val="it-IT" w:eastAsia="en-US" w:bidi="ar-SA"/>
              </w:rPr>
              <w:t>interventi di revisione generale o ispezione speciale impianti di risalita in scadenza nel 2025 o scaduti negli anni precedenti;</w:t>
            </w:r>
          </w:p>
          <w:p>
            <w:pPr>
              <w:pStyle w:val="ListParagraph"/>
              <w:widowControl/>
              <w:numPr>
                <w:ilvl w:val="0"/>
                <w:numId w:val="1"/>
              </w:numPr>
              <w:suppressAutoHyphens w:val="true"/>
              <w:spacing w:lineRule="auto" w:line="240" w:before="0" w:after="0"/>
              <w:contextualSpacing/>
              <w:jc w:val="both"/>
              <w:rPr>
                <w:rFonts w:ascii="Calibri" w:hAnsi="Calibri"/>
                <w:b/>
                <w:sz w:val="16"/>
                <w:szCs w:val="16"/>
              </w:rPr>
            </w:pPr>
            <w:r>
              <w:rPr>
                <w:rFonts w:eastAsia="Calibri" w:cs=""/>
                <w:b/>
                <w:kern w:val="0"/>
                <w:sz w:val="16"/>
                <w:szCs w:val="16"/>
                <w:lang w:val="it-IT" w:eastAsia="en-US" w:bidi="ar-SA"/>
              </w:rPr>
              <w:t>interventi di revisione generale o ispezione speciale impianti di risalita in scadenza nel 2026;</w:t>
            </w:r>
          </w:p>
          <w:p>
            <w:pPr>
              <w:pStyle w:val="ListParagraph"/>
              <w:widowControl/>
              <w:numPr>
                <w:ilvl w:val="0"/>
                <w:numId w:val="1"/>
              </w:numPr>
              <w:suppressAutoHyphens w:val="true"/>
              <w:spacing w:lineRule="auto" w:line="240" w:before="0" w:after="0"/>
              <w:contextualSpacing/>
              <w:jc w:val="both"/>
              <w:rPr>
                <w:rFonts w:ascii="Calibri" w:hAnsi="Calibri"/>
                <w:b/>
                <w:sz w:val="16"/>
                <w:szCs w:val="16"/>
              </w:rPr>
            </w:pPr>
            <w:r>
              <w:rPr>
                <w:rFonts w:eastAsia="Calibri" w:cs=""/>
                <w:b/>
                <w:kern w:val="0"/>
                <w:sz w:val="16"/>
                <w:szCs w:val="16"/>
                <w:lang w:val="it-IT" w:eastAsia="en-US" w:bidi="ar-SA"/>
              </w:rPr>
              <w:t>interventi di revisione generale o ispezione speciale impianti di risalita in scadenza nel 2027;</w:t>
            </w:r>
          </w:p>
          <w:p>
            <w:pPr>
              <w:pStyle w:val="ListParagraph"/>
              <w:widowControl/>
              <w:numPr>
                <w:ilvl w:val="0"/>
                <w:numId w:val="1"/>
              </w:numPr>
              <w:suppressAutoHyphens w:val="true"/>
              <w:spacing w:lineRule="auto" w:line="240" w:before="0" w:after="0"/>
              <w:contextualSpacing/>
              <w:jc w:val="both"/>
              <w:rPr>
                <w:rFonts w:ascii="Calibri" w:hAnsi="Calibri"/>
                <w:b/>
                <w:sz w:val="16"/>
                <w:szCs w:val="16"/>
              </w:rPr>
            </w:pPr>
            <w:r>
              <w:rPr>
                <w:rFonts w:eastAsia="Calibri" w:cs=""/>
                <w:b/>
                <w:kern w:val="0"/>
                <w:sz w:val="16"/>
                <w:szCs w:val="16"/>
                <w:lang w:val="it-IT" w:eastAsia="en-US" w:bidi="ar-SA"/>
              </w:rPr>
              <w:t>interventi di revisione generale o ispezione speciale impianti di risalita in scadenza successivamente al 31/12/2027.</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La data di scadenza è da individuarsi includendo eventuali proroghe ordinarie o straordinarie, attestate da provvedimenti formali.</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Per le definizioni di “revisione generale” e “ispezione speciale” si rinvia al D.M. 01/12/2015, n. 203 “Regolamento recante norme regolamentari in materia di revisioni periodiche, di adeguamenti tecnici e di varianti costruttive per i servizi di pubblico trasporto effettuati con funivie, funicolari, sciovie e slittinovie destinate al trasporto di persone”. Sono escluse le revisioni quinquennali.</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jc w:val="both"/>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40" w:before="0" w:after="0"/>
              <w:jc w:val="both"/>
              <w:rPr>
                <w:rFonts w:ascii="Calibri" w:hAnsi="Calibri"/>
                <w:b/>
                <w:sz w:val="24"/>
                <w:szCs w:val="24"/>
                <w:u w:val="single"/>
              </w:rPr>
            </w:pPr>
            <w:r>
              <w:rPr>
                <w:rFonts w:eastAsia="Calibri" w:cs=""/>
                <w:b/>
                <w:kern w:val="0"/>
                <w:sz w:val="24"/>
                <w:szCs w:val="24"/>
                <w:u w:val="single"/>
                <w:lang w:val="it-IT" w:eastAsia="en-US" w:bidi="ar-SA"/>
              </w:rPr>
              <w:t>(Rif. 8.2 Bando) 7. Destagionalizzazione dell’offerta turistico-sportiva delle stazioni</w:t>
            </w:r>
          </w:p>
          <w:p>
            <w:pPr>
              <w:pStyle w:val="Normal"/>
              <w:widowControl/>
              <w:suppressAutoHyphens w:val="true"/>
              <w:spacing w:lineRule="auto" w:line="240" w:before="0" w:after="0"/>
              <w:jc w:val="both"/>
              <w:rPr>
                <w:rFonts w:ascii="Calibri" w:hAnsi="Calibri"/>
                <w:b/>
                <w:sz w:val="24"/>
                <w:szCs w:val="24"/>
                <w:u w:val="single"/>
              </w:rPr>
            </w:pPr>
            <w:r>
              <w:rPr>
                <w:b/>
                <w:sz w:val="24"/>
                <w:szCs w:val="24"/>
                <w:u w:val="single"/>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Descrivere se il progetto proposto è finalizzato in prevalenza (in termini di spesa per i lavori con riferimento al quadro economico) alla valorizzazione della stazione sciistica nel periodo estivo e privo di neve (indicativamente dal mese di maggio al mese di novembre), con esclusivo riguardo agli interventi indicati dal paragrafo 4.1 let. f). L’intervento deve ricadere all’interno dell’area sciabile del Comune di riferimento.</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both"/>
              <w:rPr>
                <w:rFonts w:ascii="Calibri" w:hAnsi="Calibri"/>
                <w:b/>
                <w:sz w:val="24"/>
                <w:szCs w:val="24"/>
                <w:u w:val="single"/>
              </w:rPr>
            </w:pPr>
            <w:r>
              <w:rPr>
                <w:rFonts w:eastAsia="Calibri" w:cs=""/>
                <w:b/>
                <w:kern w:val="0"/>
                <w:sz w:val="24"/>
                <w:szCs w:val="24"/>
                <w:u w:val="single"/>
                <w:lang w:val="it-IT" w:eastAsia="en-US" w:bidi="ar-SA"/>
              </w:rPr>
              <w:t>(Rif. 8.2 Bando) 8. Interventi finalizzati al risparmio energetico</w:t>
            </w:r>
          </w:p>
          <w:p>
            <w:pPr>
              <w:pStyle w:val="Normal"/>
              <w:widowControl/>
              <w:suppressAutoHyphens w:val="true"/>
              <w:spacing w:lineRule="auto" w:line="240" w:before="0" w:after="0"/>
              <w:jc w:val="both"/>
              <w:rPr>
                <w:rFonts w:ascii="Calibri" w:hAnsi="Calibri"/>
                <w:b/>
                <w:sz w:val="24"/>
                <w:szCs w:val="24"/>
                <w:u w:val="single"/>
              </w:rPr>
            </w:pPr>
            <w:r>
              <w:rPr>
                <w:b/>
                <w:sz w:val="24"/>
                <w:szCs w:val="24"/>
                <w:u w:val="single"/>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Descrivere se il progetto proposto è finalizzato in prevalenza (in termini di spesa per i lavori con riferimento al quadro economico) al conseguimento di un risparmio energetico nella gestione degli impianti di risalita e di innevamento artificiale.</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r>
          </w:p>
          <w:p>
            <w:pPr>
              <w:pStyle w:val="Normal"/>
              <w:widowControl/>
              <w:suppressAutoHyphens w:val="true"/>
              <w:spacing w:lineRule="auto" w:line="240" w:before="0" w:after="0"/>
              <w:jc w:val="both"/>
              <w:rPr>
                <w:rFonts w:ascii="Calibri" w:hAnsi="Calibri"/>
                <w:b/>
                <w:i/>
                <w:i/>
                <w:sz w:val="16"/>
                <w:szCs w:val="16"/>
              </w:rPr>
            </w:pPr>
            <w:r>
              <w:rPr>
                <w:rFonts w:eastAsia="Calibri" w:cs=""/>
                <w:b/>
                <w:i/>
                <w:kern w:val="0"/>
                <w:sz w:val="16"/>
                <w:szCs w:val="16"/>
                <w:lang w:val="it-IT" w:eastAsia="en-US" w:bidi="ar-SA"/>
              </w:rPr>
              <w:t>Si indicano, a titolo esemplificativo e non esaustivo, alcune tipologie di interventi rientrati nel presente criterio. Utilizzo di cannoni a bassa pressione e ad alta efficienza, che richiedono meno energia per produrre neve. Gestione intelligente mediante implementazione di sistemi di controllo che regolano l'accensione e lo spegnimento dei cannoni in base alle condizioni meteorologiche e alla domanda.</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b/>
                <w:i/>
                <w:kern w:val="0"/>
                <w:sz w:val="16"/>
                <w:szCs w:val="16"/>
                <w:lang w:val="it-IT" w:eastAsia="en-US" w:bidi="ar-SA"/>
              </w:rPr>
              <w:t>Alimentazione dei cannoni con energia prodotta da fonti rinnovabili come pannelli solari o piccole turbine eoliche. Alimentazione di impianti di risalita con fonti di energia rinnovabile. Recupero dell'energia: Implementazione di sistemi di recupero dell'energia cinetica durante la frenata degli impianti. Riduzione dei consumi dei mezzi battipista mediante sostituzione con mezzi ibridi e implementazione di strumenti geomatici (GNSS, rilievi da drone) per ottimizzare la battitura.</w:t>
            </w:r>
          </w:p>
        </w:tc>
      </w:tr>
      <w:tr>
        <w:trPr/>
        <w:tc>
          <w:tcPr>
            <w:tcW w:w="9628" w:type="dxa"/>
            <w:tcBorders/>
          </w:tcPr>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suppressAutoHyphens w:val="true"/>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p>
      <w:pPr>
        <w:pStyle w:val="Normal"/>
        <w:jc w:val="both"/>
        <w:rPr>
          <w:rFonts w:ascii="Calibri" w:hAnsi="Calibri"/>
          <w:b/>
          <w:sz w:val="16"/>
          <w:szCs w:val="16"/>
          <w:u w:val="single"/>
        </w:rPr>
      </w:pPr>
      <w:r>
        <w:rPr>
          <w:b/>
          <w:sz w:val="16"/>
          <w:szCs w:val="16"/>
          <w:u w:val="single"/>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widowControl/>
              <w:suppressAutoHyphens w:val="true"/>
              <w:spacing w:lineRule="auto" w:line="240" w:before="0" w:after="0"/>
              <w:jc w:val="center"/>
              <w:rPr>
                <w:rFonts w:ascii="Calibri" w:hAnsi="Calibri"/>
                <w:b/>
                <w:sz w:val="24"/>
                <w:szCs w:val="24"/>
                <w:u w:val="single"/>
              </w:rPr>
            </w:pPr>
            <w:r>
              <w:rPr>
                <w:rFonts w:eastAsia="Calibri" w:cs=""/>
                <w:b/>
                <w:kern w:val="0"/>
                <w:sz w:val="24"/>
                <w:szCs w:val="24"/>
                <w:u w:val="single"/>
                <w:lang w:val="it-IT" w:eastAsia="en-US" w:bidi="ar-SA"/>
              </w:rPr>
              <w:t>(Rif. 8.2 Bando) 9. Cofinanziamento aggiuntivo</w:t>
            </w:r>
          </w:p>
          <w:p>
            <w:pPr>
              <w:pStyle w:val="Normal"/>
              <w:widowControl/>
              <w:suppressAutoHyphens w:val="true"/>
              <w:spacing w:lineRule="auto" w:line="240" w:before="0" w:after="0"/>
              <w:jc w:val="center"/>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left"/>
              <w:rPr>
                <w:rFonts w:ascii="Calibri" w:hAnsi="Calibri"/>
                <w:b/>
                <w:sz w:val="24"/>
                <w:szCs w:val="24"/>
                <w:u w:val="single"/>
              </w:rPr>
            </w:pPr>
            <w:r>
              <w:rPr>
                <w:rFonts w:eastAsia="Calibri" w:cs=""/>
                <w:b/>
                <w:kern w:val="0"/>
                <w:sz w:val="24"/>
                <w:szCs w:val="24"/>
                <w:u w:val="single"/>
                <w:lang w:val="it-IT" w:eastAsia="en-US" w:bidi="ar-SA"/>
              </w:rPr>
              <w:t>9.1 Cofinanziamento aggiuntivo da risorse proprie</w:t>
            </w:r>
          </w:p>
          <w:p>
            <w:pPr>
              <w:pStyle w:val="Normal"/>
              <w:widowControl/>
              <w:suppressAutoHyphens w:val="true"/>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Indicare e descrivere l’ammontare di eventuali risorse proprie dell’Ente richiedente - rispetto a quello minimo richiesto.</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i/>
                <w:i/>
              </w:rPr>
            </w:pPr>
            <w:r>
              <w:rPr>
                <w:rFonts w:eastAsia="Calibri" w:cs=""/>
                <w:b/>
                <w:i/>
                <w:kern w:val="0"/>
                <w:sz w:val="16"/>
                <w:szCs w:val="16"/>
                <w:lang w:val="it-IT" w:eastAsia="en-US" w:bidi="ar-SA"/>
              </w:rPr>
              <w:t>Il cofinanziamento deve essere comprovato mediante apposita dichiarazione sostitutiva sottoscritta dal legale rappresentante dell’Ente e dal Responsabile finanziario.</w:t>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40" w:before="0" w:after="0"/>
              <w:jc w:val="left"/>
              <w:rPr>
                <w:rFonts w:ascii="Calibri" w:hAnsi="Calibri"/>
                <w:b/>
                <w:sz w:val="24"/>
                <w:szCs w:val="24"/>
                <w:u w:val="single"/>
              </w:rPr>
            </w:pPr>
            <w:r>
              <w:rPr>
                <w:rFonts w:eastAsia="Calibri" w:cs=""/>
                <w:b/>
                <w:kern w:val="0"/>
                <w:sz w:val="24"/>
                <w:szCs w:val="24"/>
                <w:u w:val="single"/>
                <w:lang w:val="it-IT" w:eastAsia="en-US" w:bidi="ar-SA"/>
              </w:rPr>
              <w:t>9.2 Cofinanziamento aggiuntivo da risorse private</w:t>
            </w:r>
          </w:p>
          <w:p>
            <w:pPr>
              <w:pStyle w:val="Normal"/>
              <w:widowControl/>
              <w:suppressAutoHyphens w:val="true"/>
              <w:spacing w:lineRule="auto" w:line="240" w:before="0" w:after="0"/>
              <w:jc w:val="left"/>
              <w:rPr>
                <w:rFonts w:ascii="Calibri" w:hAnsi="Calibri"/>
                <w:b/>
                <w:sz w:val="24"/>
                <w:szCs w:val="24"/>
                <w:u w:val="single"/>
              </w:rPr>
            </w:pPr>
            <w:r>
              <w:rPr>
                <w:b/>
                <w:sz w:val="24"/>
                <w:szCs w:val="24"/>
                <w:u w:val="single"/>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rFonts w:eastAsia="Calibri" w:cs=""/>
                <w:b/>
                <w:kern w:val="0"/>
                <w:sz w:val="16"/>
                <w:szCs w:val="16"/>
                <w:lang w:val="it-IT" w:eastAsia="en-US" w:bidi="ar-SA"/>
              </w:rPr>
              <w:t>Indicare e descrivere l’ammontare di eventuali risorse private - rispetto a quello minimo richiesto.</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i/>
                <w:i/>
                <w:sz w:val="16"/>
                <w:szCs w:val="16"/>
              </w:rPr>
            </w:pPr>
            <w:r>
              <w:rPr>
                <w:rFonts w:eastAsia="Calibri" w:cs=""/>
                <w:b/>
                <w:i/>
                <w:kern w:val="0"/>
                <w:sz w:val="16"/>
                <w:szCs w:val="16"/>
                <w:lang w:val="it-IT" w:eastAsia="en-US" w:bidi="ar-SA"/>
              </w:rPr>
              <w:t>Il cofinanziamento deve essere comprovato da apposita dichiarazione sottoscritta dal legale rappresentante dell’Ente privato finanziatore; all’inizio dei lavori dovrà essere presentato un apposito contratto stipulato tra l’Ente pubblico beneficiario e il/i privato/i nelle forme di PPP</w:t>
            </w:r>
          </w:p>
          <w:p>
            <w:pPr>
              <w:pStyle w:val="Normal"/>
              <w:widowControl/>
              <w:suppressAutoHyphens w:val="true"/>
              <w:spacing w:lineRule="auto" w:line="240" w:before="0" w:after="0"/>
              <w:jc w:val="both"/>
              <w:rPr>
                <w:rFonts w:ascii="Calibri" w:hAnsi="Calibri"/>
                <w:b/>
                <w:i/>
                <w:i/>
                <w:sz w:val="16"/>
                <w:szCs w:val="16"/>
              </w:rPr>
            </w:pPr>
            <w:r>
              <w:rPr>
                <w:rFonts w:eastAsia="Calibri" w:cs=""/>
                <w:b/>
                <w:i/>
                <w:kern w:val="0"/>
                <w:sz w:val="16"/>
                <w:szCs w:val="16"/>
                <w:lang w:val="it-IT" w:eastAsia="en-US" w:bidi="ar-SA"/>
              </w:rPr>
              <w:t>ammesse dal codice dei contratti pubblici ovvero nelle forme di cofinanziamento ammesse dall’ordinamento giuridico.</w:t>
            </w:r>
          </w:p>
          <w:p>
            <w:pPr>
              <w:pStyle w:val="Normal"/>
              <w:widowControl/>
              <w:suppressAutoHyphens w:val="true"/>
              <w:spacing w:lineRule="auto" w:line="240" w:before="0" w:after="0"/>
              <w:jc w:val="both"/>
              <w:rPr>
                <w:rFonts w:ascii="Calibri" w:hAnsi="Calibri"/>
                <w:b/>
                <w:sz w:val="16"/>
                <w:szCs w:val="16"/>
              </w:rPr>
            </w:pPr>
            <w:r>
              <w:rPr>
                <w:b/>
                <w:sz w:val="16"/>
                <w:szCs w:val="16"/>
              </w:rPr>
            </w:r>
          </w:p>
        </w:tc>
      </w:tr>
      <w:tr>
        <w:trPr/>
        <w:tc>
          <w:tcPr>
            <w:tcW w:w="9628" w:type="dxa"/>
            <w:tcBorders/>
          </w:tcPr>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sz w:val="16"/>
                <w:szCs w:val="16"/>
              </w:rPr>
            </w:pPr>
            <w:r>
              <w:rPr>
                <w:rFonts w:eastAsia="Calibri" w:cs=""/>
                <w:kern w:val="0"/>
                <w:sz w:val="16"/>
                <w:szCs w:val="16"/>
                <w:lang w:val="it-IT" w:eastAsia="en-US" w:bidi="ar-SA"/>
              </w:rPr>
              <w:t>DESCRIZIONE: ……………………..</w:t>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p>
            <w:pPr>
              <w:pStyle w:val="Normal"/>
              <w:widowControl/>
              <w:suppressAutoHyphens w:val="true"/>
              <w:spacing w:lineRule="auto" w:line="240" w:before="0" w:after="0"/>
              <w:jc w:val="both"/>
              <w:rPr>
                <w:rFonts w:ascii="Calibri" w:hAnsi="Calibri"/>
                <w:b/>
                <w:sz w:val="16"/>
                <w:szCs w:val="16"/>
              </w:rPr>
            </w:pPr>
            <w:r>
              <w:rPr>
                <w:b/>
                <w:sz w:val="16"/>
                <w:szCs w:val="16"/>
              </w:rPr>
            </w:r>
          </w:p>
        </w:tc>
      </w:tr>
    </w:tbl>
    <w:p>
      <w:pPr>
        <w:pStyle w:val="Normal"/>
        <w:spacing w:before="0" w:after="160"/>
        <w:jc w:val="both"/>
        <w:rPr>
          <w:rFonts w:ascii="Calibri" w:hAnsi="Calibri"/>
          <w:b/>
          <w:sz w:val="16"/>
          <w:szCs w:val="16"/>
          <w:u w:val="single"/>
        </w:rPr>
      </w:pPr>
      <w:r>
        <w:rPr>
          <w:b/>
          <w:sz w:val="16"/>
          <w:szCs w:val="16"/>
          <w:u w:val="singl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963295" cy="445135"/>
          <wp:effectExtent l="0" t="0" r="0" b="0"/>
          <wp:docPr id="4"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
                  <pic:cNvPicPr>
                    <a:picLocks noChangeAspect="1" noChangeArrowheads="1"/>
                  </pic:cNvPicPr>
                </pic:nvPicPr>
                <pic:blipFill>
                  <a:blip r:embed="rId1"/>
                  <a:stretch>
                    <a:fillRect/>
                  </a:stretch>
                </pic:blipFill>
                <pic:spPr bwMode="auto">
                  <a:xfrm>
                    <a:off x="0" y="0"/>
                    <a:ext cx="963295" cy="44513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963295" cy="445135"/>
          <wp:effectExtent l="0" t="0" r="0" b="0"/>
          <wp:docPr id="5"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descr=""/>
                  <pic:cNvPicPr>
                    <a:picLocks noChangeAspect="1" noChangeArrowheads="1"/>
                  </pic:cNvPicPr>
                </pic:nvPicPr>
                <pic:blipFill>
                  <a:blip r:embed="rId1"/>
                  <a:stretch>
                    <a:fillRect/>
                  </a:stretch>
                </pic:blipFill>
                <pic:spPr bwMode="auto">
                  <a:xfrm>
                    <a:off x="0" y="0"/>
                    <a:ext cx="963295" cy="44513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712653665"/>
    </w:sdtPr>
    <w:sdtContent>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shape_0" adj="10800" fillcolor="silver" stroked="f" o:allowincell="f" style="position:absolute;margin-left:10.05pt;margin-top:288.15pt;width:461.75pt;height:124.1pt;mso-wrap-style:none;v-text-anchor:middle;rotation:315;mso-position-horizontal:center;mso-position-horizontal-relative:margin;mso-position-vertical:center;mso-position-vertical-relative:margin" type="_x0000_t136">
              <v:path textpathok="t"/>
              <v:textpath on="t" fitshape="t" string="ESEMPIO" style="font-family:&quot;calibri&quot;;font-size:1pt" trim="t"/>
              <v:fill o:detectmouseclick="t" type="solid" color2="#3f3f3f" opacity="0.5"/>
              <v:stroke color="#3465a4" joinstyle="round" endcap="flat"/>
              <w10:wrap type="none"/>
            </v:shape>
          </w:pict>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712653665"/>
    </w:sdtPr>
    <w:sdtContent>
      <w:p>
        <w:pPr>
          <w:pStyle w:val="Header"/>
          <w:rPr/>
        </w:pPr>
        <w:r>
          <w:rPr/>
          <w:pict>
            <v:shape id="PowerPlusWaterMarkObject357922611" o:spid="shape_0" adj="10800" fillcolor="silver" stroked="f" o:allowincell="f" style="position:absolute;margin-left:10.05pt;margin-top:288.15pt;width:461.75pt;height:124.1pt;mso-wrap-style:none;v-text-anchor:middle;rotation:315;mso-position-horizontal:center;mso-position-horizontal-relative:margin;mso-position-vertical:center;mso-position-vertical-relative:margin" type="_x0000_t136">
              <v:path textpathok="t"/>
              <v:textpath on="t" fitshape="t" string="ESEMPIO" style="font-family:&quot;calibri&quot;;font-size:1pt" trim="t"/>
              <v:fill o:detectmouseclick="t" type="solid" color2="#3f3f3f" opacity="0.5"/>
              <v:stroke color="#3465a4" joinstyle="round" endcap="flat"/>
              <w10:wrap type="none"/>
            </v:shape>
          </w:pict>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d05f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d30da0"/>
    <w:rPr/>
  </w:style>
  <w:style w:type="character" w:styleId="PidipaginaCarattere" w:customStyle="1">
    <w:name w:val="Piè di pagina Carattere"/>
    <w:basedOn w:val="DefaultParagraphFont"/>
    <w:uiPriority w:val="99"/>
    <w:qFormat/>
    <w:rsid w:val="00d30da0"/>
    <w:rPr/>
  </w:style>
  <w:style w:type="character" w:styleId="Hyperlink">
    <w:name w:val="Hyperlink"/>
    <w:basedOn w:val="DefaultParagraphFont"/>
    <w:uiPriority w:val="99"/>
    <w:unhideWhenUsed/>
    <w:rsid w:val="00e07453"/>
    <w:rPr>
      <w:color w:themeColor="hyperlink" w:val="0563C1"/>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d30da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d30da0"/>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ba06fa"/>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d6f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154</TotalTime>
  <Application>LibreOffice/7.6.6.3$Windows_X86_64 LibreOffice_project/d97b2716a9a4a2ce1391dee1765565ea469b0ae7</Application>
  <AppVersion>15.0000</AppVersion>
  <Pages>6</Pages>
  <Words>987</Words>
  <Characters>6358</Characters>
  <CharactersWithSpaces>7279</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2025-01-29T15:23:00Z</dcterms:created>
  <dc:creator>Alessandro Tomacelli</dc:creator>
  <dc:description/>
  <dc:language>it-IT</dc:language>
  <cp:lastModifiedBy>Germano Gola</cp:lastModifiedBy>
  <dcterms:modified xsi:type="dcterms:W3CDTF">2025-05-12T14:30:23Z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