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1"/>
        <w:rPr/>
      </w:pPr>
      <w:r>
        <w:drawing>
          <wp:anchor behindDoc="0" distT="0" distB="0" distL="0" distR="0" simplePos="0" locked="0" layoutInCell="0" allowOverlap="1" relativeHeight="2">
            <wp:simplePos x="0" y="0"/>
            <wp:positionH relativeFrom="column">
              <wp:posOffset>-114935</wp:posOffset>
            </wp:positionH>
            <wp:positionV relativeFrom="paragraph">
              <wp:posOffset>-422275</wp:posOffset>
            </wp:positionV>
            <wp:extent cx="6299200" cy="49911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6299200" cy="499110"/>
                    </a:xfrm>
                    <a:prstGeom prst="rect">
                      <a:avLst/>
                    </a:prstGeom>
                  </pic:spPr>
                </pic:pic>
              </a:graphicData>
            </a:graphic>
          </wp:anchor>
        </w:drawing>
      </w:r>
      <w:r>
        <w:rPr/>
        <w:t xml:space="preserve"> </w:t>
      </w:r>
      <w:r>
        <w:rPr/>
        <w:t xml:space="preserve">                 </w:t>
      </w:r>
    </w:p>
    <w:p>
      <w:pPr>
        <w:pStyle w:val="LOnormal1"/>
        <w:jc w:val="center"/>
        <w:rPr>
          <w:shd w:fill="auto" w:val="clear"/>
        </w:rPr>
      </w:pPr>
      <w:r>
        <w:rPr>
          <w:b/>
          <w:sz w:val="28"/>
          <w:szCs w:val="28"/>
          <w:shd w:fill="auto" w:val="clear"/>
        </w:rPr>
        <w:t>NOTE PER LA COMPILAZIONE DELLE DOMANDE</w:t>
      </w:r>
    </w:p>
    <w:p>
      <w:pPr>
        <w:pStyle w:val="LOnormal1"/>
        <w:rPr>
          <w:shd w:fill="auto" w:val="clear"/>
        </w:rPr>
      </w:pPr>
      <w:r>
        <w:rPr>
          <w:shd w:fill="auto" w:val="clear"/>
        </w:rPr>
      </w:r>
    </w:p>
    <w:p>
      <w:pPr>
        <w:pStyle w:val="LOnormal1"/>
        <w:rPr>
          <w:shd w:fill="auto" w:val="clear"/>
        </w:rPr>
      </w:pPr>
      <w:r>
        <w:rPr>
          <w:shd w:fill="auto" w:val="clear"/>
        </w:rPr>
      </w:r>
    </w:p>
    <w:p>
      <w:pPr>
        <w:pStyle w:val="LOnormal1"/>
        <w:jc w:val="left"/>
        <w:rPr>
          <w:shd w:fill="auto" w:val="clear"/>
        </w:rPr>
      </w:pPr>
      <w:r>
        <w:rPr>
          <w:b/>
          <w:shd w:fill="auto" w:val="clear"/>
        </w:rPr>
        <w:t>1. NOTA PER LA COMPILAZIONE DELLA DICHIARAZIONE “CLIMATE PROOFING”</w:t>
      </w:r>
    </w:p>
    <w:p>
      <w:pPr>
        <w:pStyle w:val="LOnormal1"/>
        <w:jc w:val="both"/>
        <w:rPr>
          <w:b/>
          <w:b/>
          <w:shd w:fill="auto" w:val="clear"/>
        </w:rPr>
      </w:pPr>
      <w:r>
        <w:rPr>
          <w:b/>
          <w:shd w:fill="auto" w:val="clear"/>
        </w:rPr>
      </w:r>
    </w:p>
    <w:p>
      <w:pPr>
        <w:pStyle w:val="LOnormal1"/>
        <w:jc w:val="both"/>
        <w:rPr>
          <w:shd w:fill="auto" w:val="clear"/>
        </w:rPr>
      </w:pPr>
      <w:r>
        <w:rPr>
          <w:b/>
          <w:shd w:fill="auto" w:val="clear"/>
        </w:rPr>
        <w:t>Dichiarazione “Climate proofing”</w:t>
      </w:r>
    </w:p>
    <w:p>
      <w:pPr>
        <w:pStyle w:val="LOnormal1"/>
        <w:jc w:val="both"/>
        <w:rPr>
          <w:shd w:fill="auto" w:val="clear"/>
        </w:rPr>
      </w:pPr>
      <w:r>
        <w:rPr>
          <w:b/>
          <w:i w:val="false"/>
          <w:caps w:val="false"/>
          <w:smallCaps w:val="false"/>
          <w:color w:val="000000"/>
          <w:sz w:val="24"/>
          <w:szCs w:val="24"/>
          <w:shd w:fill="auto" w:val="clear"/>
        </w:rPr>
        <w:t>1.1</w:t>
      </w:r>
      <w:r>
        <w:rPr>
          <w:b w:val="false"/>
          <w:i w:val="false"/>
          <w:caps w:val="false"/>
          <w:smallCaps w:val="false"/>
          <w:color w:val="000000"/>
          <w:sz w:val="24"/>
          <w:szCs w:val="24"/>
          <w:shd w:fill="auto" w:val="clear"/>
        </w:rPr>
        <w:t xml:space="preserve"> […] In relazione al progetto candidato nell’ambito della </w:t>
      </w:r>
      <w:r>
        <w:rPr>
          <w:b/>
          <w:i w:val="false"/>
          <w:caps w:val="false"/>
          <w:smallCaps w:val="false"/>
          <w:color w:val="000000"/>
          <w:sz w:val="24"/>
          <w:szCs w:val="24"/>
          <w:shd w:fill="auto" w:val="clear"/>
        </w:rPr>
        <w:t>Misura [numero e nome misura]</w:t>
      </w:r>
      <w:r>
        <w:rPr>
          <w:b w:val="false"/>
          <w:i w:val="false"/>
          <w:caps w:val="false"/>
          <w:smallCaps w:val="false"/>
          <w:color w:val="000000"/>
          <w:sz w:val="24"/>
          <w:szCs w:val="24"/>
          <w:shd w:fill="auto" w:val="clear"/>
        </w:rPr>
        <w:t>: indicare</w:t>
      </w:r>
      <w:r>
        <w:rPr>
          <w:b w:val="false"/>
          <w:i/>
          <w:caps w:val="false"/>
          <w:smallCaps w:val="false"/>
          <w:color w:val="000000"/>
          <w:sz w:val="24"/>
          <w:szCs w:val="24"/>
          <w:shd w:fill="auto" w:val="clear"/>
        </w:rPr>
        <w:t xml:space="preserve"> “Schede tecniche di misura relative</w:t>
      </w:r>
      <w:r>
        <w:rPr>
          <w:i/>
          <w:shd w:fill="auto" w:val="clear"/>
        </w:rPr>
        <w:t>:</w:t>
      </w:r>
    </w:p>
    <w:p>
      <w:pPr>
        <w:pStyle w:val="LOnormal1"/>
        <w:numPr>
          <w:ilvl w:val="0"/>
          <w:numId w:val="1"/>
        </w:numPr>
        <w:ind w:left="720" w:hanging="360"/>
        <w:jc w:val="both"/>
        <w:rPr>
          <w:shd w:fill="auto" w:val="clear"/>
        </w:rPr>
      </w:pPr>
      <w:r>
        <w:rPr>
          <w:b w:val="false"/>
          <w:i/>
          <w:caps w:val="false"/>
          <w:smallCaps w:val="false"/>
          <w:color w:val="000000"/>
          <w:sz w:val="24"/>
          <w:szCs w:val="24"/>
          <w:shd w:fill="auto" w:val="clear"/>
        </w:rPr>
        <w:t>all’Azione III.2i.2 Efficientamento energetico nelle imprese</w:t>
      </w:r>
    </w:p>
    <w:p>
      <w:pPr>
        <w:pStyle w:val="LOnormal1"/>
        <w:numPr>
          <w:ilvl w:val="0"/>
          <w:numId w:val="1"/>
        </w:numPr>
        <w:ind w:left="720" w:hanging="360"/>
        <w:jc w:val="both"/>
        <w:rPr>
          <w:shd w:fill="auto" w:val="clear"/>
        </w:rPr>
      </w:pPr>
      <w:r>
        <w:rPr>
          <w:b w:val="false"/>
          <w:i/>
          <w:caps w:val="false"/>
          <w:smallCaps w:val="false"/>
          <w:color w:val="000000"/>
          <w:sz w:val="24"/>
          <w:szCs w:val="24"/>
          <w:shd w:fill="auto" w:val="clear"/>
        </w:rPr>
        <w:t>all’Azione II.2ii.2 Promozione dell’utilizzo delle energie rinnovabili nelle imprese”</w:t>
      </w:r>
    </w:p>
    <w:p>
      <w:pPr>
        <w:pStyle w:val="LOnormal1"/>
        <w:jc w:val="both"/>
        <w:rPr>
          <w:b/>
          <w:b/>
          <w:i w:val="false"/>
          <w:i w:val="false"/>
          <w:caps w:val="false"/>
          <w:smallCaps w:val="false"/>
          <w:color w:val="000000"/>
          <w:sz w:val="24"/>
          <w:szCs w:val="24"/>
          <w:shd w:fill="auto" w:val="clear"/>
        </w:rPr>
      </w:pPr>
      <w:r>
        <w:rPr>
          <w:b/>
          <w:i w:val="false"/>
          <w:caps w:val="false"/>
          <w:smallCaps w:val="false"/>
          <w:color w:val="000000"/>
          <w:sz w:val="24"/>
          <w:szCs w:val="24"/>
          <w:shd w:fill="auto" w:val="clear"/>
        </w:rPr>
      </w:r>
    </w:p>
    <w:p>
      <w:pPr>
        <w:pStyle w:val="LOnormal1"/>
        <w:jc w:val="both"/>
        <w:rPr>
          <w:shd w:fill="auto" w:val="clear"/>
        </w:rPr>
      </w:pPr>
      <w:r>
        <w:rPr>
          <w:b/>
          <w:i w:val="false"/>
          <w:caps w:val="false"/>
          <w:smallCaps w:val="false"/>
          <w:color w:val="000000"/>
          <w:sz w:val="24"/>
          <w:szCs w:val="24"/>
          <w:shd w:fill="auto" w:val="clear"/>
        </w:rPr>
        <w:t>1.2</w:t>
      </w:r>
      <w:r>
        <w:rPr>
          <w:b w:val="false"/>
          <w:i w:val="false"/>
          <w:caps w:val="false"/>
          <w:smallCaps w:val="false"/>
          <w:color w:val="000000"/>
          <w:sz w:val="24"/>
          <w:szCs w:val="24"/>
          <w:shd w:fill="auto" w:val="clear"/>
        </w:rPr>
        <w:t xml:space="preserve"> </w:t>
      </w:r>
      <w:r>
        <w:rPr>
          <w:b/>
          <w:i w:val="false"/>
          <w:caps w:val="false"/>
          <w:smallCaps w:val="false"/>
          <w:color w:val="000000"/>
          <w:sz w:val="24"/>
          <w:szCs w:val="24"/>
          <w:shd w:fill="auto" w:val="clear"/>
        </w:rPr>
        <w:t>bando [nome del bando]:</w:t>
      </w:r>
      <w:r>
        <w:rPr>
          <w:b w:val="false"/>
          <w:i w:val="false"/>
          <w:caps w:val="false"/>
          <w:smallCaps w:val="false"/>
          <w:color w:val="000000"/>
          <w:sz w:val="24"/>
          <w:szCs w:val="24"/>
          <w:shd w:fill="auto" w:val="clear"/>
        </w:rPr>
        <w:t xml:space="preserve"> </w:t>
      </w:r>
      <w:r>
        <w:rPr>
          <w:b w:val="false"/>
          <w:i/>
          <w:caps w:val="false"/>
          <w:smallCaps w:val="false"/>
          <w:color w:val="000000"/>
          <w:sz w:val="24"/>
          <w:szCs w:val="24"/>
          <w:shd w:fill="auto" w:val="clear"/>
        </w:rPr>
        <w:t>indicare “BANDO EFFICIENZA ENERGETICA ED ENERGIE RINNOVABILI NELLE IMPRESE</w:t>
      </w:r>
      <w:r>
        <w:rPr>
          <w:b/>
          <w:i/>
          <w:caps w:val="false"/>
          <w:smallCaps w:val="false"/>
          <w:color w:val="000000"/>
          <w:sz w:val="24"/>
          <w:szCs w:val="24"/>
          <w:shd w:fill="auto" w:val="clear"/>
        </w:rPr>
        <w:t>”</w:t>
      </w:r>
    </w:p>
    <w:p>
      <w:pPr>
        <w:pStyle w:val="LOnormal1"/>
        <w:widowControl/>
        <w:ind w:left="0" w:right="0" w:hanging="0"/>
        <w:rPr>
          <w:b w:val="false"/>
          <w:b w:val="false"/>
          <w:i w:val="false"/>
          <w:i w:val="false"/>
          <w:caps w:val="false"/>
          <w:smallCaps w:val="false"/>
          <w:color w:val="000000"/>
          <w:sz w:val="24"/>
          <w:szCs w:val="24"/>
          <w:shd w:fill="auto" w:val="clear"/>
        </w:rPr>
      </w:pPr>
      <w:r>
        <w:rPr>
          <w:b w:val="false"/>
          <w:i w:val="false"/>
          <w:caps w:val="false"/>
          <w:smallCaps w:val="false"/>
          <w:color w:val="000000"/>
          <w:sz w:val="24"/>
          <w:szCs w:val="24"/>
          <w:shd w:fill="auto" w:val="clear"/>
        </w:rPr>
      </w:r>
    </w:p>
    <w:p>
      <w:pPr>
        <w:pStyle w:val="LOnormal1"/>
        <w:widowControl/>
        <w:ind w:left="0" w:right="0" w:hanging="0"/>
        <w:rPr>
          <w:shd w:fill="auto" w:val="clear"/>
        </w:rPr>
      </w:pPr>
      <w:r>
        <w:rPr>
          <w:b/>
          <w:i w:val="false"/>
          <w:caps w:val="false"/>
          <w:smallCaps w:val="false"/>
          <w:color w:val="000000"/>
          <w:sz w:val="24"/>
          <w:szCs w:val="24"/>
          <w:shd w:fill="auto" w:val="clear"/>
        </w:rPr>
        <w:t>1.3</w:t>
      </w:r>
      <w:r>
        <w:rPr>
          <w:b w:val="false"/>
          <w:i w:val="false"/>
          <w:caps w:val="false"/>
          <w:smallCaps w:val="false"/>
          <w:color w:val="000000"/>
          <w:sz w:val="24"/>
          <w:szCs w:val="24"/>
          <w:shd w:fill="auto" w:val="clear"/>
        </w:rPr>
        <w:t xml:space="preserve"> </w:t>
      </w:r>
      <w:r>
        <w:rPr>
          <w:b/>
          <w:i w:val="false"/>
          <w:caps w:val="false"/>
          <w:smallCaps w:val="false"/>
          <w:color w:val="000000"/>
          <w:sz w:val="24"/>
          <w:szCs w:val="24"/>
          <w:shd w:fill="auto" w:val="clear"/>
        </w:rPr>
        <w:t xml:space="preserve">Codice settore intervento – tipo di intervento (da tab. 4 del PR FESR 21 27): </w:t>
      </w:r>
      <w:r>
        <w:rPr>
          <w:b w:val="false"/>
          <w:i w:val="false"/>
          <w:caps w:val="false"/>
          <w:smallCaps w:val="false"/>
          <w:color w:val="000000"/>
          <w:sz w:val="24"/>
          <w:szCs w:val="24"/>
          <w:shd w:fill="auto" w:val="clear"/>
        </w:rPr>
        <w:t>Indicare i settori di intervento riportati nella scheda di Misura:</w:t>
      </w:r>
    </w:p>
    <w:p>
      <w:pPr>
        <w:pStyle w:val="LOnormal1"/>
        <w:widowControl/>
        <w:ind w:left="0" w:right="0" w:hanging="0"/>
        <w:rPr>
          <w:rFonts w:ascii="Liberation Serif" w:hAnsi="Liberation Serif" w:eastAsia="Liberation Serif" w:cs="Liberation Serif"/>
          <w:b/>
          <w:b/>
          <w:i w:val="false"/>
          <w:i w:val="false"/>
          <w:caps w:val="false"/>
          <w:smallCaps w:val="false"/>
          <w:color w:val="000000"/>
          <w:sz w:val="24"/>
          <w:szCs w:val="24"/>
          <w:shd w:fill="auto" w:val="clear"/>
        </w:rPr>
      </w:pPr>
      <w:r>
        <w:rPr>
          <w:rFonts w:eastAsia="Liberation Serif" w:cs="Liberation Serif"/>
          <w:b/>
          <w:i w:val="false"/>
          <w:caps w:val="false"/>
          <w:smallCaps w:val="false"/>
          <w:color w:val="000000"/>
          <w:sz w:val="24"/>
          <w:szCs w:val="24"/>
          <w:shd w:fill="auto" w:val="clear"/>
        </w:rPr>
      </w:r>
    </w:p>
    <w:p>
      <w:pPr>
        <w:pStyle w:val="LOnormal1"/>
        <w:widowControl/>
        <w:ind w:left="0" w:right="0" w:hanging="0"/>
        <w:rPr>
          <w:shd w:fill="auto" w:val="clear"/>
        </w:rPr>
      </w:pPr>
      <w:r>
        <w:rPr>
          <w:b w:val="false"/>
          <w:i w:val="false"/>
          <w:caps w:val="false"/>
          <w:smallCaps w:val="false"/>
          <w:color w:val="000000"/>
          <w:sz w:val="24"/>
          <w:szCs w:val="24"/>
          <w:shd w:fill="auto" w:val="clear"/>
        </w:rPr>
        <w:t xml:space="preserve">Azione II.2i.2: </w:t>
      </w:r>
      <w:r>
        <w:rPr>
          <w:b w:val="false"/>
          <w:i/>
          <w:caps w:val="false"/>
          <w:smallCaps w:val="false"/>
          <w:color w:val="000000"/>
          <w:sz w:val="24"/>
          <w:szCs w:val="24"/>
          <w:shd w:fill="auto" w:val="clear"/>
        </w:rPr>
        <w:t xml:space="preserve">040. Efficienza energetica e progetti dimostrativi nelle PMI o nelle grandi  </w:t>
      </w:r>
    </w:p>
    <w:p>
      <w:pPr>
        <w:pStyle w:val="LOnormal1"/>
        <w:widowControl/>
        <w:ind w:left="0" w:right="0" w:hanging="0"/>
        <w:rPr>
          <w:shd w:fill="auto" w:val="clear"/>
        </w:rPr>
      </w:pPr>
      <w:r>
        <w:rPr>
          <w:i/>
          <w:shd w:fill="auto" w:val="clear"/>
        </w:rPr>
        <w:t xml:space="preserve">                               </w:t>
      </w:r>
      <w:r>
        <w:rPr>
          <w:b w:val="false"/>
          <w:i/>
          <w:caps w:val="false"/>
          <w:smallCaps w:val="false"/>
          <w:color w:val="000000"/>
          <w:sz w:val="24"/>
          <w:szCs w:val="24"/>
          <w:shd w:fill="auto" w:val="clear"/>
        </w:rPr>
        <w:t xml:space="preserve">imprese e misure di sostegno conformemente ai criteri di efficienza </w:t>
      </w:r>
    </w:p>
    <w:p>
      <w:pPr>
        <w:pStyle w:val="LOnormal1"/>
        <w:widowControl/>
        <w:ind w:left="0" w:right="0" w:hanging="0"/>
        <w:rPr>
          <w:shd w:fill="auto" w:val="clear"/>
        </w:rPr>
      </w:pPr>
      <w:r>
        <w:rPr>
          <w:i/>
          <w:shd w:fill="auto" w:val="clear"/>
        </w:rPr>
        <w:t xml:space="preserve">                              </w:t>
      </w:r>
      <w:r>
        <w:rPr>
          <w:b w:val="false"/>
          <w:i/>
          <w:caps w:val="false"/>
          <w:smallCaps w:val="false"/>
          <w:color w:val="000000"/>
          <w:sz w:val="24"/>
          <w:szCs w:val="24"/>
          <w:shd w:fill="auto" w:val="clear"/>
        </w:rPr>
        <w:t>energetica</w:t>
      </w:r>
      <w:r>
        <w:rPr>
          <w:b w:val="false"/>
          <w:i w:val="false"/>
          <w:caps w:val="false"/>
          <w:smallCaps w:val="false"/>
          <w:color w:val="000000"/>
          <w:sz w:val="24"/>
          <w:szCs w:val="24"/>
          <w:shd w:fill="auto" w:val="clear"/>
        </w:rPr>
        <w:t xml:space="preserve"> </w:t>
      </w:r>
    </w:p>
    <w:p>
      <w:pPr>
        <w:pStyle w:val="LOnormal1"/>
        <w:widowControl/>
        <w:ind w:left="0" w:right="0" w:hanging="0"/>
        <w:rPr>
          <w:shd w:fill="auto" w:val="clear"/>
        </w:rPr>
      </w:pPr>
      <w:r>
        <w:rPr>
          <w:b w:val="false"/>
          <w:i w:val="false"/>
          <w:caps w:val="false"/>
          <w:smallCaps w:val="false"/>
          <w:color w:val="000000"/>
          <w:sz w:val="24"/>
          <w:szCs w:val="24"/>
          <w:shd w:fill="auto" w:val="clear"/>
        </w:rPr>
        <w:tab/>
        <w:tab/>
      </w:r>
      <w:r>
        <w:rPr>
          <w:b w:val="false"/>
          <w:i/>
          <w:caps w:val="false"/>
          <w:smallCaps w:val="false"/>
          <w:color w:val="000000"/>
          <w:sz w:val="24"/>
          <w:szCs w:val="24"/>
          <w:shd w:fill="auto" w:val="clear"/>
        </w:rPr>
        <w:t xml:space="preserve">055. Cogenerazione ad alto rendimento, teleriscaldamento efficiente e </w:t>
        <w:tab/>
        <w:tab/>
        <w:tab/>
        <w:tab/>
        <w:t>teleraffreddamento con basse emissioni del ciclo di vita</w:t>
      </w:r>
    </w:p>
    <w:p>
      <w:pPr>
        <w:pStyle w:val="LOnormal1"/>
        <w:widowControl/>
        <w:ind w:left="0" w:right="0" w:hanging="0"/>
        <w:rPr>
          <w:shd w:fill="auto" w:val="clear"/>
        </w:rPr>
      </w:pPr>
      <w:r>
        <w:rPr>
          <w:b w:val="false"/>
          <w:i w:val="false"/>
          <w:caps w:val="false"/>
          <w:smallCaps w:val="false"/>
          <w:color w:val="000000"/>
          <w:sz w:val="24"/>
          <w:szCs w:val="24"/>
          <w:shd w:fill="auto" w:val="clear"/>
        </w:rPr>
        <w:t xml:space="preserve">Azione II.2ii.2: </w:t>
      </w:r>
      <w:r>
        <w:rPr>
          <w:b w:val="false"/>
          <w:i/>
          <w:caps w:val="false"/>
          <w:smallCaps w:val="false"/>
          <w:color w:val="000000"/>
          <w:sz w:val="24"/>
          <w:szCs w:val="24"/>
          <w:shd w:fill="auto" w:val="clear"/>
        </w:rPr>
        <w:t>048 Energia rinnovabile: solare</w:t>
      </w:r>
    </w:p>
    <w:p>
      <w:pPr>
        <w:pStyle w:val="LOnormal1"/>
        <w:widowControl/>
        <w:ind w:left="0" w:right="0" w:hanging="0"/>
        <w:rPr>
          <w:shd w:fill="auto" w:val="clear"/>
        </w:rPr>
      </w:pPr>
      <w:r>
        <w:rPr>
          <w:b w:val="false"/>
          <w:i/>
          <w:caps w:val="false"/>
          <w:smallCaps w:val="false"/>
          <w:color w:val="000000"/>
          <w:sz w:val="24"/>
          <w:szCs w:val="24"/>
          <w:shd w:fill="auto" w:val="clear"/>
        </w:rPr>
        <w:tab/>
        <w:tab/>
        <w:t xml:space="preserve">  050. Energia rinnovabile: biomassa con elevate riduzioni di gas ad effetto </w:t>
      </w:r>
    </w:p>
    <w:p>
      <w:pPr>
        <w:pStyle w:val="LOnormal1"/>
        <w:widowControl/>
        <w:ind w:left="0" w:right="0" w:hanging="0"/>
        <w:rPr>
          <w:shd w:fill="auto" w:val="clear"/>
        </w:rPr>
      </w:pPr>
      <w:r>
        <w:rPr>
          <w:i/>
          <w:shd w:fill="auto" w:val="clear"/>
        </w:rPr>
        <w:t xml:space="preserve">                               </w:t>
      </w:r>
      <w:r>
        <w:rPr>
          <w:b w:val="false"/>
          <w:i/>
          <w:caps w:val="false"/>
          <w:smallCaps w:val="false"/>
          <w:color w:val="000000"/>
          <w:sz w:val="24"/>
          <w:szCs w:val="24"/>
          <w:shd w:fill="auto" w:val="clear"/>
        </w:rPr>
        <w:t>serra</w:t>
      </w:r>
    </w:p>
    <w:p>
      <w:pPr>
        <w:pStyle w:val="LOnormal1"/>
        <w:widowControl/>
        <w:ind w:left="0" w:right="0" w:hanging="0"/>
        <w:rPr>
          <w:shd w:fill="auto" w:val="clear"/>
        </w:rPr>
      </w:pPr>
      <w:r>
        <w:rPr>
          <w:b w:val="false"/>
          <w:i/>
          <w:caps w:val="false"/>
          <w:smallCaps w:val="false"/>
          <w:color w:val="000000"/>
          <w:sz w:val="24"/>
          <w:szCs w:val="24"/>
          <w:shd w:fill="auto" w:val="clear"/>
        </w:rPr>
        <w:tab/>
        <w:tab/>
        <w:t xml:space="preserve"> 052. Altre energie rinnovabili (compresa l’energia geotermica)</w:t>
      </w:r>
    </w:p>
    <w:p>
      <w:pPr>
        <w:pStyle w:val="LOnormal1"/>
        <w:widowControl/>
        <w:ind w:left="0" w:right="0" w:hanging="0"/>
        <w:rPr>
          <w:shd w:fill="auto" w:val="clear"/>
        </w:rPr>
      </w:pPr>
      <w:r>
        <w:rPr>
          <w:b w:val="false"/>
          <w:i/>
          <w:caps w:val="false"/>
          <w:smallCaps w:val="false"/>
          <w:color w:val="000000"/>
          <w:sz w:val="24"/>
          <w:szCs w:val="24"/>
          <w:shd w:fill="auto" w:val="clear"/>
        </w:rPr>
        <w:tab/>
        <w:tab/>
        <w:t xml:space="preserve"> 054. Cogenerazione ad alto rendimento, teleriscaldamento e </w:t>
      </w:r>
    </w:p>
    <w:p>
      <w:pPr>
        <w:pStyle w:val="LOnormal1"/>
        <w:widowControl/>
        <w:ind w:left="0" w:right="0" w:hanging="0"/>
        <w:rPr>
          <w:shd w:fill="auto" w:val="clear"/>
        </w:rPr>
      </w:pPr>
      <w:r>
        <w:rPr>
          <w:i/>
          <w:shd w:fill="auto" w:val="clear"/>
        </w:rPr>
        <w:t xml:space="preserve">                              </w:t>
      </w:r>
      <w:r>
        <w:rPr>
          <w:b w:val="false"/>
          <w:i/>
          <w:caps w:val="false"/>
          <w:smallCaps w:val="false"/>
          <w:color w:val="000000"/>
          <w:sz w:val="24"/>
          <w:szCs w:val="24"/>
          <w:shd w:fill="auto" w:val="clear"/>
        </w:rPr>
        <w:t xml:space="preserve">teleraffreddamento </w:t>
      </w:r>
    </w:p>
    <w:p>
      <w:pPr>
        <w:pStyle w:val="LOnormal1"/>
        <w:widowControl/>
        <w:ind w:left="0" w:right="0" w:hanging="0"/>
        <w:rPr>
          <w:b w:val="false"/>
          <w:b w:val="false"/>
          <w:i w:val="false"/>
          <w:i w:val="false"/>
          <w:caps w:val="false"/>
          <w:smallCaps w:val="false"/>
          <w:color w:val="000000"/>
          <w:sz w:val="24"/>
          <w:szCs w:val="24"/>
          <w:shd w:fill="auto" w:val="clear"/>
        </w:rPr>
      </w:pPr>
      <w:r>
        <w:rPr>
          <w:b w:val="false"/>
          <w:i w:val="false"/>
          <w:caps w:val="false"/>
          <w:smallCaps w:val="false"/>
          <w:color w:val="000000"/>
          <w:sz w:val="24"/>
          <w:szCs w:val="24"/>
          <w:shd w:fill="auto" w:val="clear"/>
        </w:rPr>
      </w:r>
    </w:p>
    <w:p>
      <w:pPr>
        <w:pStyle w:val="LOnormal1"/>
        <w:widowControl/>
        <w:spacing w:lineRule="auto" w:line="240" w:before="0" w:after="283"/>
        <w:ind w:left="0" w:right="0" w:hanging="0"/>
        <w:jc w:val="both"/>
        <w:rPr>
          <w:shd w:fill="auto" w:val="clear"/>
        </w:rPr>
      </w:pPr>
      <w:r>
        <w:rPr>
          <w:b/>
          <w:i w:val="false"/>
          <w:caps w:val="false"/>
          <w:smallCaps w:val="false"/>
          <w:color w:val="000000"/>
          <w:sz w:val="24"/>
          <w:szCs w:val="24"/>
          <w:shd w:fill="auto" w:val="clear"/>
        </w:rPr>
        <w:t>1.4</w:t>
      </w:r>
      <w:r>
        <w:rPr>
          <w:b w:val="false"/>
          <w:i w:val="false"/>
          <w:caps w:val="false"/>
          <w:smallCaps w:val="false"/>
          <w:color w:val="000000"/>
          <w:sz w:val="24"/>
          <w:szCs w:val="24"/>
          <w:shd w:fill="auto" w:val="clear"/>
        </w:rPr>
        <w:t xml:space="preserve"> </w:t>
      </w:r>
      <w:r>
        <w:rPr>
          <w:b/>
          <w:i w:val="false"/>
          <w:caps w:val="false"/>
          <w:smallCaps w:val="false"/>
          <w:color w:val="000000"/>
          <w:sz w:val="24"/>
          <w:szCs w:val="24"/>
          <w:shd w:fill="auto" w:val="clear"/>
        </w:rPr>
        <w:t>Dichiarazione della necessità o meno della verifica di neultralità climatica e resilienza climatica.</w:t>
      </w:r>
      <w:r>
        <w:rPr>
          <w:b w:val="false"/>
          <w:i w:val="false"/>
          <w:caps w:val="false"/>
          <w:smallCaps w:val="false"/>
          <w:color w:val="000000"/>
          <w:sz w:val="24"/>
          <w:szCs w:val="24"/>
          <w:shd w:fill="auto" w:val="clear"/>
        </w:rPr>
        <w:t xml:space="preserve"> Tale punto è in relazione alla </w:t>
      </w:r>
      <w:r>
        <w:rPr>
          <w:b w:val="false"/>
          <w:i/>
          <w:caps w:val="false"/>
          <w:smallCaps w:val="false"/>
          <w:color w:val="000000"/>
          <w:sz w:val="24"/>
          <w:szCs w:val="24"/>
          <w:shd w:fill="auto" w:val="clear"/>
        </w:rPr>
        <w:t>Valutazione del rischio climatico e l’individuazione delle misure di adattamento</w:t>
      </w:r>
      <w:r>
        <w:rPr>
          <w:b w:val="false"/>
          <w:i w:val="false"/>
          <w:caps w:val="false"/>
          <w:smallCaps w:val="false"/>
          <w:color w:val="000000"/>
          <w:sz w:val="24"/>
          <w:szCs w:val="24"/>
          <w:shd w:fill="auto" w:val="clear"/>
        </w:rPr>
        <w:t xml:space="preserve"> citata al par. 2.3 dell’Allegato 5 (Schema di Relazione tecnico economica (RTE) – Indice Guida e specifiche delle condizioni tecniche di ammissibilità) del Bando.</w:t>
      </w:r>
    </w:p>
    <w:p>
      <w:pPr>
        <w:pStyle w:val="LOnormal1"/>
        <w:widowControl/>
        <w:spacing w:lineRule="auto" w:line="240" w:before="0" w:after="283"/>
        <w:ind w:left="0" w:right="0" w:hanging="0"/>
        <w:jc w:val="both"/>
        <w:rPr>
          <w:shd w:fill="auto" w:val="clear"/>
        </w:rPr>
      </w:pPr>
      <w:r>
        <w:rPr>
          <w:b w:val="false"/>
          <w:i w:val="false"/>
          <w:caps w:val="false"/>
          <w:smallCaps w:val="false"/>
          <w:color w:val="000000"/>
          <w:sz w:val="24"/>
          <w:szCs w:val="24"/>
          <w:shd w:fill="auto" w:val="clear"/>
        </w:rPr>
        <w:t>Il processo della verifica climatica dei progetti da ammettere al finanziamento è suddiviso in due pilastri di analisi (1. neutralità climatica/mitigazione e 2. resilienza climatica/adattamento), ciascuno caratterizzato da due fasi (screening e analisi dettagliata). Per entrambi i pilastri, la necessità di procedere ad un’analisi dettagliata dipende dall’esito della fase di screening, in un’ottica risk-based, anche al fine di ridurre gli oneri amministrativi potenzialmente legati alla verifica climatica.</w:t>
      </w:r>
    </w:p>
    <w:p>
      <w:pPr>
        <w:pStyle w:val="LOnormal1"/>
        <w:widowControl/>
        <w:spacing w:lineRule="auto" w:line="240" w:before="0" w:after="283"/>
        <w:ind w:left="0" w:right="0" w:hanging="0"/>
        <w:jc w:val="both"/>
        <w:rPr>
          <w:shd w:fill="auto" w:val="clear"/>
        </w:rPr>
      </w:pPr>
      <w:r>
        <w:rPr>
          <w:b w:val="false"/>
          <w:i w:val="false"/>
          <w:caps w:val="false"/>
          <w:smallCaps w:val="false"/>
          <w:color w:val="000000"/>
          <w:sz w:val="24"/>
          <w:szCs w:val="24"/>
          <w:shd w:fill="auto" w:val="clear"/>
        </w:rPr>
        <w:t xml:space="preserve">Come </w:t>
      </w:r>
      <w:r>
        <w:rPr>
          <w:shd w:fill="auto" w:val="clear"/>
        </w:rPr>
        <w:t>chiarito</w:t>
      </w:r>
      <w:r>
        <w:rPr>
          <w:b w:val="false"/>
          <w:i w:val="false"/>
          <w:caps w:val="false"/>
          <w:smallCaps w:val="false"/>
          <w:color w:val="000000"/>
          <w:sz w:val="24"/>
          <w:szCs w:val="24"/>
          <w:shd w:fill="auto" w:val="clear"/>
        </w:rPr>
        <w:t xml:space="preserve"> dal documento “Indirizzi per la verifica climatica dei progetti infrastrutturali in italia per il periodo 2021-2027” pubblicato dal Dipartimento per le Politiche di Coesione della Presidenza del Consiglio dei Ministri (6 ottobre 2023) sono esclusi dalla </w:t>
      </w:r>
      <w:r>
        <w:rPr>
          <w:b/>
          <w:i w:val="false"/>
          <w:caps w:val="false"/>
          <w:smallCaps w:val="false"/>
          <w:color w:val="000000"/>
          <w:sz w:val="24"/>
          <w:szCs w:val="24"/>
          <w:shd w:fill="auto" w:val="clear"/>
        </w:rPr>
        <w:t>verifica climatica</w:t>
      </w:r>
      <w:r>
        <w:rPr>
          <w:b w:val="false"/>
          <w:i w:val="false"/>
          <w:caps w:val="false"/>
          <w:smallCaps w:val="false"/>
          <w:color w:val="000000"/>
          <w:sz w:val="24"/>
          <w:szCs w:val="24"/>
          <w:shd w:fill="auto" w:val="clear"/>
        </w:rPr>
        <w:t xml:space="preserve"> (neutralità climatica/mitigazione e resilienza climatica/adattamento), quindi </w:t>
      </w:r>
      <w:r>
        <w:rPr>
          <w:b/>
          <w:bCs/>
          <w:i w:val="false"/>
          <w:caps w:val="false"/>
          <w:smallCaps w:val="false"/>
          <w:color w:val="000000"/>
          <w:sz w:val="24"/>
          <w:szCs w:val="24"/>
          <w:shd w:fill="auto" w:val="clear"/>
        </w:rPr>
        <w:t>non devono compilare le schede</w:t>
      </w:r>
      <w:r>
        <w:rPr>
          <w:b w:val="false"/>
          <w:i w:val="false"/>
          <w:caps w:val="false"/>
          <w:smallCaps w:val="false"/>
          <w:color w:val="000000"/>
          <w:sz w:val="24"/>
          <w:szCs w:val="24"/>
          <w:shd w:fill="auto" w:val="clear"/>
        </w:rPr>
        <w:t xml:space="preserve"> ad essa riferita:</w:t>
      </w:r>
    </w:p>
    <w:p>
      <w:pPr>
        <w:pStyle w:val="LOnormal1"/>
        <w:keepNext w:val="false"/>
        <w:keepLines w:val="false"/>
        <w:pageBreakBefore w:val="false"/>
        <w:widowControl/>
        <w:numPr>
          <w:ilvl w:val="0"/>
          <w:numId w:val="2"/>
        </w:numPr>
        <w:shd w:val="clear" w:fill="auto"/>
        <w:tabs>
          <w:tab w:val="clear" w:pos="720"/>
          <w:tab w:val="left" w:pos="0" w:leader="none"/>
        </w:tabs>
        <w:spacing w:lineRule="auto" w:line="288" w:before="0" w:after="0"/>
        <w:jc w:val="both"/>
        <w:rPr>
          <w:shd w:fill="auto" w:val="clear"/>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tutti gli investimenti </w:t>
      </w:r>
      <w:r>
        <w:rPr>
          <w:rFonts w:eastAsia="Liberation Serif" w:cs="Liberation Serif"/>
          <w:b w:val="false"/>
          <w:i w:val="false"/>
          <w:caps w:val="false"/>
          <w:smallCaps w:val="false"/>
          <w:strike w:val="false"/>
          <w:dstrike w:val="false"/>
          <w:color w:val="000000"/>
          <w:position w:val="0"/>
          <w:sz w:val="24"/>
          <w:sz w:val="24"/>
          <w:szCs w:val="24"/>
          <w:u w:val="single"/>
          <w:shd w:fill="auto" w:val="clear"/>
          <w:vertAlign w:val="baseline"/>
        </w:rPr>
        <w:t>non</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indicati come infrastrutture all’art. 5 del Regolamento (UE) 2021/1058 relativo al FESR 2021-2027, che definisce gli ambiti di applicazione del Fondo</w:t>
      </w:r>
      <w:bookmarkStart w:id="0" w:name="gjdgxs"/>
      <w:bookmarkStart w:id="1" w:name="30j0zll"/>
      <w:bookmarkEnd w:id="0"/>
      <w:bookmarkEnd w:id="1"/>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e che non comprendano interventi per nuovi stabilimenti (edifici) e/o per “ristrutturazioni importanti” (si veda oltre per la definizione);</w:t>
      </w:r>
    </w:p>
    <w:p>
      <w:pPr>
        <w:pStyle w:val="LOnormal1"/>
        <w:keepNext w:val="false"/>
        <w:keepLines w:val="false"/>
        <w:pageBreakBefore w:val="false"/>
        <w:widowControl/>
        <w:numPr>
          <w:ilvl w:val="0"/>
          <w:numId w:val="3"/>
        </w:numPr>
        <w:shd w:val="clear" w:fill="auto"/>
        <w:tabs>
          <w:tab w:val="clear" w:pos="720"/>
          <w:tab w:val="left" w:pos="0" w:leader="none"/>
        </w:tabs>
        <w:spacing w:lineRule="auto" w:line="288" w:before="0" w:after="0"/>
        <w:jc w:val="both"/>
        <w:rPr>
          <w:shd w:fill="auto" w:val="clear"/>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con riferimento agli edifici, individuati negli Orientamenti tecnici come infrastrutture (edifici civili o edifici industriali), la verifica climatica (resilienza climatica/adattamento) va certamente condotta nel caso di realizzazio</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ne di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nuovi edifici</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w:t>
      </w:r>
    </w:p>
    <w:p>
      <w:pPr>
        <w:pStyle w:val="LOnormal1"/>
        <w:keepNext w:val="false"/>
        <w:keepLines w:val="false"/>
        <w:pageBreakBefore w:val="false"/>
        <w:widowControl/>
        <w:numPr>
          <w:ilvl w:val="0"/>
          <w:numId w:val="3"/>
        </w:numPr>
        <w:shd w:val="clear" w:fill="auto"/>
        <w:tabs>
          <w:tab w:val="clear" w:pos="720"/>
          <w:tab w:val="left" w:pos="0" w:leader="none"/>
        </w:tabs>
        <w:spacing w:lineRule="auto" w:line="288" w:before="0" w:after="0"/>
        <w:jc w:val="both"/>
        <w:rPr>
          <w:shd w:fill="auto" w:val="clear"/>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per interventi di efficientamento energetico di edifici, la verifica climatica (resilienza climatica/adattamento) è necessaria sol</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o quando si tratti di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ristrutturazioni importanti</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per gli interventi di efficienza energetica in coerenza con quanto definito nel Decreto Ministeriale</w:t>
      </w:r>
      <w:bookmarkStart w:id="2" w:name="tyjcwt"/>
      <w:bookmarkStart w:id="3" w:name="3znysh7"/>
      <w:bookmarkStart w:id="4" w:name="2et92p0"/>
      <w:bookmarkStart w:id="5" w:name="1fob9te"/>
      <w:bookmarkEnd w:id="2"/>
      <w:bookmarkEnd w:id="3"/>
      <w:bookmarkEnd w:id="4"/>
      <w:bookmarkEnd w:id="5"/>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26 giugno 2015, in attuazione della Direttiva 2010/31/UE sulla prestazione energetica degli edifici (Energy Performance of Buildings Directive - EPBD</w:t>
      </w:r>
      <w:bookmarkStart w:id="6" w:name="1t3h5sf"/>
      <w:bookmarkStart w:id="7" w:name="3dy6vkm"/>
      <w:bookmarkEnd w:id="6"/>
      <w:bookmarkEnd w:id="7"/>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è da considerarsi “ristrutturazione importante” quella che interessi almeno il 25% della superficie disperdente lorda complessiva dell’edificio. Per tutte le altre ristrutturazioni di edifici (con finalità antisismica o altre finalità), si considera come “ristrutturazione importante” un intervento il cui costo superi il 25% del valore di mercato dell’edificio, utilizzando esclusivamente i dati contenuti nella banca dati dell’Osservatorio dei Valori Immobiliari (OMI) dell’Agenzia delle Entrate, per garantire omogeneità di applicazione nell’intero territorio nazionale. Al riguardo si suggerisce di utilizzare il dato più aggiornato disponibile per il singolo comune e di fare riferimento alla media aritmetica tra valore minimo e valore massimo</w:t>
      </w:r>
      <w:bookmarkStart w:id="8" w:name="4d34og8"/>
      <w:bookmarkStart w:id="9" w:name="2s8eyo1"/>
      <w:bookmarkEnd w:id="8"/>
      <w:bookmarkEnd w:id="9"/>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w:t>
      </w:r>
    </w:p>
    <w:p>
      <w:pPr>
        <w:pStyle w:val="LOnormal1"/>
        <w:keepNext w:val="false"/>
        <w:keepLines w:val="false"/>
        <w:pageBreakBefore w:val="false"/>
        <w:widowControl/>
        <w:shd w:val="clear" w:fill="auto"/>
        <w:spacing w:lineRule="auto" w:line="288"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widowControl/>
        <w:spacing w:lineRule="auto" w:line="240" w:before="0" w:after="0"/>
        <w:jc w:val="both"/>
        <w:rPr>
          <w:shd w:fill="auto" w:val="clear"/>
        </w:rPr>
      </w:pPr>
      <w:r>
        <w:rPr>
          <w:b w:val="false"/>
          <w:shd w:fill="auto" w:val="clear"/>
        </w:rPr>
        <w:t>Per le tipologie di intervento previste dal Bando, gli indirizzi forniscono le seguenti indicazioni:</w:t>
      </w:r>
    </w:p>
    <w:p>
      <w:pPr>
        <w:pStyle w:val="LOnormal1"/>
        <w:widowControl/>
        <w:spacing w:lineRule="auto" w:line="240" w:before="0" w:after="0"/>
        <w:jc w:val="both"/>
        <w:rPr>
          <w:b w:val="false"/>
          <w:b w:val="false"/>
          <w:shd w:fill="auto" w:val="clear"/>
        </w:rPr>
      </w:pPr>
      <w:r>
        <w:rPr>
          <w:b w:val="false"/>
          <w:shd w:fill="auto" w:val="clear"/>
        </w:rPr>
      </w:r>
    </w:p>
    <w:tbl>
      <w:tblPr>
        <w:tblStyle w:val="Table1"/>
        <w:tblW w:w="9645" w:type="dxa"/>
        <w:jc w:val="left"/>
        <w:tblInd w:w="-27" w:type="dxa"/>
        <w:tblLayout w:type="fixed"/>
        <w:tblCellMar>
          <w:top w:w="0" w:type="dxa"/>
          <w:left w:w="108" w:type="dxa"/>
          <w:bottom w:w="0" w:type="dxa"/>
          <w:right w:w="108" w:type="dxa"/>
        </w:tblCellMar>
        <w:tblLook w:val="0000"/>
      </w:tblPr>
      <w:tblGrid>
        <w:gridCol w:w="2037"/>
        <w:gridCol w:w="1023"/>
        <w:gridCol w:w="960"/>
        <w:gridCol w:w="1020"/>
        <w:gridCol w:w="1079"/>
        <w:gridCol w:w="3525"/>
      </w:tblGrid>
      <w:tr>
        <w:trPr/>
        <w:tc>
          <w:tcPr>
            <w:tcW w:w="2037"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Codice e Settore di intervento</w:t>
            </w:r>
          </w:p>
        </w:tc>
        <w:tc>
          <w:tcPr>
            <w:tcW w:w="1023"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Screening  mitigazione</w:t>
            </w:r>
          </w:p>
        </w:tc>
        <w:tc>
          <w:tcPr>
            <w:tcW w:w="96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Analisi dettagliata</w:t>
            </w:r>
          </w:p>
          <w:p>
            <w:pPr>
              <w:pStyle w:val="LOnormal1"/>
              <w:widowControl w:val="false"/>
              <w:jc w:val="left"/>
              <w:rPr>
                <w:sz w:val="20"/>
                <w:szCs w:val="20"/>
                <w:shd w:fill="auto" w:val="clear"/>
              </w:rPr>
            </w:pPr>
            <w:r>
              <w:rPr>
                <w:sz w:val="20"/>
                <w:szCs w:val="20"/>
                <w:shd w:fill="auto" w:val="clear"/>
              </w:rPr>
              <w:t>mitigazione</w:t>
            </w:r>
          </w:p>
        </w:tc>
        <w:tc>
          <w:tcPr>
            <w:tcW w:w="102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Screening adattamento</w:t>
            </w:r>
          </w:p>
        </w:tc>
        <w:tc>
          <w:tcPr>
            <w:tcW w:w="1079"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Analisi dettagliata  adattamento</w:t>
            </w:r>
          </w:p>
        </w:tc>
        <w:tc>
          <w:tcPr>
            <w:tcW w:w="3525" w:type="dxa"/>
            <w:tcBorders>
              <w:top w:val="single" w:sz="4" w:space="0" w:color="000000"/>
              <w:left w:val="single" w:sz="4" w:space="0" w:color="000000"/>
              <w:bottom w:val="single" w:sz="4" w:space="0" w:color="000000"/>
              <w:right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 </w:t>
            </w:r>
            <w:r>
              <w:rPr>
                <w:sz w:val="20"/>
                <w:szCs w:val="20"/>
                <w:shd w:fill="auto" w:val="clear"/>
              </w:rPr>
              <w:t xml:space="preserve">Ulteriori indicazioni </w:t>
            </w:r>
          </w:p>
        </w:tc>
      </w:tr>
      <w:tr>
        <w:trPr/>
        <w:tc>
          <w:tcPr>
            <w:tcW w:w="2037"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040. Efficienza energetica e progetti dimostrativi nelle PMI o nelle grandi imprese e misure di sostegno conformemente ai criteri di efficienza energetica</w:t>
            </w:r>
          </w:p>
        </w:tc>
        <w:tc>
          <w:tcPr>
            <w:tcW w:w="1023"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in alcuni casi</w:t>
            </w:r>
          </w:p>
        </w:tc>
        <w:tc>
          <w:tcPr>
            <w:tcW w:w="96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102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in alcuni casi</w:t>
            </w:r>
          </w:p>
        </w:tc>
        <w:tc>
          <w:tcPr>
            <w:tcW w:w="1079"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3525" w:type="dxa"/>
            <w:tcBorders>
              <w:top w:val="single" w:sz="4" w:space="0" w:color="000000"/>
              <w:left w:val="single" w:sz="4" w:space="0" w:color="000000"/>
              <w:bottom w:val="single" w:sz="4" w:space="0" w:color="000000"/>
              <w:right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Lo Screening sulla Mitigazione è potenzialmente necessario per interventi di grandi imprese. </w:t>
            </w:r>
          </w:p>
          <w:p>
            <w:pPr>
              <w:pStyle w:val="LOnormal1"/>
              <w:widowControl w:val="false"/>
              <w:jc w:val="left"/>
              <w:rPr>
                <w:sz w:val="20"/>
                <w:szCs w:val="20"/>
                <w:shd w:fill="auto" w:val="clear"/>
              </w:rPr>
            </w:pPr>
            <w:r>
              <w:rPr>
                <w:sz w:val="20"/>
                <w:szCs w:val="20"/>
                <w:shd w:fill="auto" w:val="clear"/>
              </w:rPr>
              <w:t xml:space="preserve">Lo Screening sull’Adattamento è richiesta se il progetto prevede: 1) costruzione edifici nuovi, 2) ristrutturazione importante di edifici esistenti. </w:t>
            </w:r>
          </w:p>
          <w:p>
            <w:pPr>
              <w:pStyle w:val="LOnormal1"/>
              <w:widowControl w:val="false"/>
              <w:jc w:val="left"/>
              <w:rPr>
                <w:sz w:val="20"/>
                <w:szCs w:val="20"/>
                <w:shd w:fill="auto" w:val="clear"/>
              </w:rPr>
            </w:pPr>
            <w:r>
              <w:rPr>
                <w:sz w:val="20"/>
                <w:szCs w:val="20"/>
                <w:shd w:fill="auto" w:val="clear"/>
              </w:rPr>
              <w:t xml:space="preserve">L’Analisi dettagliata sull’Adattamento è necessaria se la fase di screening identifica una vulnerabilità medio-alta </w:t>
            </w:r>
          </w:p>
        </w:tc>
      </w:tr>
      <w:tr>
        <w:trPr/>
        <w:tc>
          <w:tcPr>
            <w:tcW w:w="2037"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048</w:t>
            </w:r>
          </w:p>
          <w:p>
            <w:pPr>
              <w:pStyle w:val="LOnormal1"/>
              <w:widowControl w:val="false"/>
              <w:jc w:val="left"/>
              <w:rPr>
                <w:sz w:val="20"/>
                <w:szCs w:val="20"/>
                <w:shd w:fill="auto" w:val="clear"/>
              </w:rPr>
            </w:pPr>
            <w:r>
              <w:rPr>
                <w:sz w:val="20"/>
                <w:szCs w:val="20"/>
                <w:shd w:fill="auto" w:val="clear"/>
              </w:rPr>
              <w:t>Energia rinnovabile: solare</w:t>
            </w:r>
          </w:p>
        </w:tc>
        <w:tc>
          <w:tcPr>
            <w:tcW w:w="1023"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in alcuni casi </w:t>
            </w:r>
          </w:p>
        </w:tc>
        <w:tc>
          <w:tcPr>
            <w:tcW w:w="96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102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in alcuni casi </w:t>
            </w:r>
          </w:p>
        </w:tc>
        <w:tc>
          <w:tcPr>
            <w:tcW w:w="1079"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3525" w:type="dxa"/>
            <w:tcBorders>
              <w:top w:val="single" w:sz="4" w:space="0" w:color="000000"/>
              <w:left w:val="single" w:sz="4" w:space="0" w:color="000000"/>
              <w:bottom w:val="single" w:sz="4" w:space="0" w:color="000000"/>
              <w:right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Lo Screening sulla Mitigazione e lo Screninng sull’Adattamento è necessario per centrali fotovoltaiche. </w:t>
            </w:r>
          </w:p>
          <w:p>
            <w:pPr>
              <w:pStyle w:val="LOnormal1"/>
              <w:widowControl w:val="false"/>
              <w:jc w:val="left"/>
              <w:rPr>
                <w:sz w:val="20"/>
                <w:szCs w:val="20"/>
                <w:shd w:fill="auto" w:val="clear"/>
              </w:rPr>
            </w:pPr>
            <w:r>
              <w:rPr>
                <w:sz w:val="20"/>
                <w:szCs w:val="20"/>
                <w:shd w:fill="auto" w:val="clear"/>
              </w:rPr>
              <w:t xml:space="preserve">L’Analisi dettagliata sull’Adattamento è necessaria se la fase di screening identifica una vulnerabilità medio-alta. </w:t>
            </w:r>
          </w:p>
          <w:p>
            <w:pPr>
              <w:pStyle w:val="LOnormal1"/>
              <w:widowControl w:val="false"/>
              <w:jc w:val="left"/>
              <w:rPr>
                <w:sz w:val="20"/>
                <w:szCs w:val="20"/>
                <w:shd w:fill="auto" w:val="clear"/>
              </w:rPr>
            </w:pPr>
            <w:r>
              <w:rPr>
                <w:b w:val="false"/>
                <w:bCs w:val="false"/>
                <w:sz w:val="20"/>
                <w:szCs w:val="20"/>
                <w:shd w:fill="auto" w:val="clear"/>
              </w:rPr>
              <w:t xml:space="preserve">Il finanziamento di pannelli solari (fotovoltaici o termici) sui tetti che non sono parte di interventi integrati per efficientamento energetico di edifici </w:t>
            </w:r>
            <w:r>
              <w:rPr>
                <w:b/>
                <w:bCs/>
                <w:sz w:val="20"/>
                <w:szCs w:val="20"/>
                <w:shd w:fill="auto" w:val="clear"/>
              </w:rPr>
              <w:t>non richiedono la verifica climatica</w:t>
            </w:r>
            <w:r>
              <w:rPr>
                <w:b w:val="false"/>
                <w:bCs w:val="false"/>
                <w:sz w:val="20"/>
                <w:szCs w:val="20"/>
                <w:shd w:fill="auto" w:val="clear"/>
              </w:rPr>
              <w:t xml:space="preserve"> in quanto trattasi solo di attrezzature</w:t>
            </w:r>
          </w:p>
        </w:tc>
      </w:tr>
      <w:tr>
        <w:trPr/>
        <w:tc>
          <w:tcPr>
            <w:tcW w:w="2037"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050</w:t>
            </w:r>
          </w:p>
          <w:p>
            <w:pPr>
              <w:pStyle w:val="LOnormal1"/>
              <w:widowControl w:val="false"/>
              <w:jc w:val="left"/>
              <w:rPr>
                <w:sz w:val="20"/>
                <w:szCs w:val="20"/>
                <w:shd w:fill="auto" w:val="clear"/>
              </w:rPr>
            </w:pPr>
            <w:r>
              <w:rPr>
                <w:sz w:val="20"/>
                <w:szCs w:val="20"/>
                <w:shd w:fill="auto" w:val="clear"/>
              </w:rPr>
              <w:t>Energia rinnovabile: biomassa con elevate riduzioni di gas a effetto serra</w:t>
            </w:r>
          </w:p>
        </w:tc>
        <w:tc>
          <w:tcPr>
            <w:tcW w:w="1023"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 </w:t>
            </w:r>
            <w:r>
              <w:rPr>
                <w:sz w:val="20"/>
                <w:szCs w:val="20"/>
                <w:shd w:fill="auto" w:val="clear"/>
              </w:rPr>
              <w:t xml:space="preserve">in alcuni casi </w:t>
            </w:r>
          </w:p>
        </w:tc>
        <w:tc>
          <w:tcPr>
            <w:tcW w:w="96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102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in alcuni casi </w:t>
            </w:r>
          </w:p>
        </w:tc>
        <w:tc>
          <w:tcPr>
            <w:tcW w:w="1079"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3525" w:type="dxa"/>
            <w:tcBorders>
              <w:top w:val="single" w:sz="4" w:space="0" w:color="000000"/>
              <w:left w:val="single" w:sz="4" w:space="0" w:color="000000"/>
              <w:bottom w:val="single" w:sz="4" w:space="0" w:color="000000"/>
              <w:right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Lo Screening sulla Mitigazione e lo Screening sull’Adattamento sono necessari per gli impianti di taglia industriale. </w:t>
            </w:r>
          </w:p>
          <w:p>
            <w:pPr>
              <w:pStyle w:val="LOnormal1"/>
              <w:widowControl w:val="false"/>
              <w:jc w:val="left"/>
              <w:rPr>
                <w:sz w:val="20"/>
                <w:szCs w:val="20"/>
                <w:shd w:fill="auto" w:val="clear"/>
              </w:rPr>
            </w:pPr>
            <w:r>
              <w:rPr>
                <w:sz w:val="20"/>
                <w:szCs w:val="20"/>
                <w:shd w:fill="auto" w:val="clear"/>
              </w:rPr>
              <w:t>L’Analisi dettagliata sull’Adattamento è necessaria se la fase di screening identifica una vulnerabilità medio-alta</w:t>
            </w:r>
          </w:p>
        </w:tc>
      </w:tr>
      <w:tr>
        <w:trPr/>
        <w:tc>
          <w:tcPr>
            <w:tcW w:w="2037"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052</w:t>
            </w:r>
          </w:p>
          <w:p>
            <w:pPr>
              <w:pStyle w:val="LOnormal1"/>
              <w:widowControl w:val="false"/>
              <w:jc w:val="left"/>
              <w:rPr>
                <w:sz w:val="20"/>
                <w:szCs w:val="20"/>
                <w:shd w:fill="auto" w:val="clear"/>
              </w:rPr>
            </w:pPr>
            <w:r>
              <w:rPr>
                <w:sz w:val="20"/>
                <w:szCs w:val="20"/>
                <w:shd w:fill="auto" w:val="clear"/>
              </w:rPr>
              <w:t>Altri tipi di energia rinnovabile (compresa l'energia geotermica)</w:t>
            </w:r>
          </w:p>
        </w:tc>
        <w:tc>
          <w:tcPr>
            <w:tcW w:w="1023"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 </w:t>
            </w:r>
            <w:r>
              <w:rPr>
                <w:sz w:val="20"/>
                <w:szCs w:val="20"/>
                <w:shd w:fill="auto" w:val="clear"/>
              </w:rPr>
              <w:t xml:space="preserve">in alcuni casi </w:t>
            </w:r>
          </w:p>
        </w:tc>
        <w:tc>
          <w:tcPr>
            <w:tcW w:w="96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 </w:t>
            </w:r>
            <w:r>
              <w:rPr>
                <w:sz w:val="20"/>
                <w:szCs w:val="20"/>
                <w:shd w:fill="auto" w:val="clear"/>
              </w:rPr>
              <w:t xml:space="preserve">se necessaria da risultati screening </w:t>
            </w:r>
          </w:p>
        </w:tc>
        <w:tc>
          <w:tcPr>
            <w:tcW w:w="102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in alcuni casi </w:t>
            </w:r>
          </w:p>
        </w:tc>
        <w:tc>
          <w:tcPr>
            <w:tcW w:w="1079"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3525" w:type="dxa"/>
            <w:tcBorders>
              <w:top w:val="single" w:sz="4" w:space="0" w:color="000000"/>
              <w:left w:val="single" w:sz="4" w:space="0" w:color="000000"/>
              <w:bottom w:val="single" w:sz="4" w:space="0" w:color="000000"/>
              <w:right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Lo Screening sulla Mitigazione e lo Screening sull’Adattamento sono necessari per gli impianti di taglia industriale  (centrali elettriche o termiche). </w:t>
            </w:r>
          </w:p>
          <w:p>
            <w:pPr>
              <w:pStyle w:val="LOnormal1"/>
              <w:widowControl w:val="false"/>
              <w:jc w:val="left"/>
              <w:rPr>
                <w:sz w:val="20"/>
                <w:szCs w:val="20"/>
                <w:shd w:fill="auto" w:val="clear"/>
              </w:rPr>
            </w:pPr>
            <w:r>
              <w:rPr>
                <w:sz w:val="20"/>
                <w:szCs w:val="20"/>
                <w:shd w:fill="auto" w:val="clear"/>
              </w:rPr>
              <w:t>L’Analisi dettagliata sull’Adattamento è necessaria se la fase di screening identifica una vulnerabilità medio-alta</w:t>
            </w:r>
          </w:p>
          <w:p>
            <w:pPr>
              <w:pStyle w:val="LOnormal1"/>
              <w:widowControl w:val="false"/>
              <w:jc w:val="left"/>
              <w:rPr>
                <w:sz w:val="20"/>
                <w:szCs w:val="20"/>
                <w:shd w:fill="auto" w:val="clear"/>
              </w:rPr>
            </w:pPr>
            <w:r>
              <w:rPr>
                <w:sz w:val="20"/>
                <w:szCs w:val="20"/>
                <w:shd w:fill="auto" w:val="clear"/>
              </w:rPr>
              <w:t xml:space="preserve">Il finanziamento di pompe di calore che non sono parte di interventi integrati  per efficientamento energetico di edifici </w:t>
            </w:r>
            <w:r>
              <w:rPr>
                <w:b/>
                <w:bCs/>
                <w:sz w:val="20"/>
                <w:szCs w:val="20"/>
                <w:shd w:fill="auto" w:val="clear"/>
              </w:rPr>
              <w:t>non richiedono la verifica climatica</w:t>
            </w:r>
            <w:r>
              <w:rPr>
                <w:sz w:val="20"/>
                <w:szCs w:val="20"/>
                <w:shd w:fill="auto" w:val="clear"/>
              </w:rPr>
              <w:t xml:space="preserve"> in quanto trattasi solo di attrezzature</w:t>
            </w:r>
          </w:p>
        </w:tc>
      </w:tr>
      <w:tr>
        <w:trPr/>
        <w:tc>
          <w:tcPr>
            <w:tcW w:w="2037" w:type="dxa"/>
            <w:tcBorders>
              <w:top w:val="single" w:sz="4" w:space="0" w:color="000000"/>
              <w:left w:val="single" w:sz="4" w:space="0" w:color="000000"/>
              <w:bottom w:val="single" w:sz="4" w:space="0" w:color="000000"/>
            </w:tcBorders>
            <w:shd w:fill="auto" w:val="clear"/>
          </w:tcPr>
          <w:p>
            <w:pPr>
              <w:pStyle w:val="LOnormal1"/>
              <w:keepNext w:val="false"/>
              <w:keepLines w:val="false"/>
              <w:widowControl w:val="false"/>
              <w:shd w:val="clear" w:fill="auto"/>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0"/>
                <w:sz w:val="20"/>
                <w:szCs w:val="20"/>
                <w:u w:val="none"/>
                <w:shd w:fill="auto" w:val="clear"/>
                <w:vertAlign w:val="baseline"/>
              </w:rPr>
              <w:t>054. Cogenerazione ad alto rendimento, teleriscaldamento e teleraffreddamento</w:t>
            </w:r>
          </w:p>
        </w:tc>
        <w:tc>
          <w:tcPr>
            <w:tcW w:w="1023"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SI</w:t>
            </w:r>
          </w:p>
        </w:tc>
        <w:tc>
          <w:tcPr>
            <w:tcW w:w="96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102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SI</w:t>
            </w:r>
          </w:p>
        </w:tc>
        <w:tc>
          <w:tcPr>
            <w:tcW w:w="1079"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3525" w:type="dxa"/>
            <w:tcBorders>
              <w:top w:val="single" w:sz="4" w:space="0" w:color="000000"/>
              <w:left w:val="single" w:sz="4" w:space="0" w:color="000000"/>
              <w:bottom w:val="single" w:sz="4" w:space="0" w:color="000000"/>
              <w:right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Ipotizzando progetti a scala industriale e/o nel contesto di reti di teleriscaldamento sono necessari lo Screening sulla Mitigazione e lo Screening sull’Adattamento </w:t>
            </w:r>
          </w:p>
        </w:tc>
      </w:tr>
      <w:tr>
        <w:trPr/>
        <w:tc>
          <w:tcPr>
            <w:tcW w:w="2037"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055. Cogenerazione ad alto rendimento, teleriscaldamento efficiente e teleraffreddamento con basse emissioni del ciclo di vita</w:t>
            </w:r>
          </w:p>
        </w:tc>
        <w:tc>
          <w:tcPr>
            <w:tcW w:w="1023"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SI</w:t>
            </w:r>
          </w:p>
        </w:tc>
        <w:tc>
          <w:tcPr>
            <w:tcW w:w="96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1020"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SI</w:t>
            </w:r>
          </w:p>
        </w:tc>
        <w:tc>
          <w:tcPr>
            <w:tcW w:w="1079" w:type="dxa"/>
            <w:tcBorders>
              <w:top w:val="single" w:sz="4" w:space="0" w:color="000000"/>
              <w:left w:val="single" w:sz="4" w:space="0" w:color="000000"/>
              <w:bottom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se necessaria da risultati Screening </w:t>
            </w:r>
          </w:p>
        </w:tc>
        <w:tc>
          <w:tcPr>
            <w:tcW w:w="3525" w:type="dxa"/>
            <w:tcBorders>
              <w:top w:val="single" w:sz="4" w:space="0" w:color="000000"/>
              <w:left w:val="single" w:sz="4" w:space="0" w:color="000000"/>
              <w:bottom w:val="single" w:sz="4" w:space="0" w:color="000000"/>
              <w:right w:val="single" w:sz="4" w:space="0" w:color="000000"/>
            </w:tcBorders>
            <w:shd w:fill="auto" w:val="clear"/>
          </w:tcPr>
          <w:p>
            <w:pPr>
              <w:pStyle w:val="LOnormal1"/>
              <w:widowControl w:val="false"/>
              <w:jc w:val="left"/>
              <w:rPr>
                <w:sz w:val="20"/>
                <w:szCs w:val="20"/>
                <w:shd w:fill="auto" w:val="clear"/>
              </w:rPr>
            </w:pPr>
            <w:r>
              <w:rPr>
                <w:sz w:val="20"/>
                <w:szCs w:val="20"/>
                <w:shd w:fill="auto" w:val="clear"/>
              </w:rPr>
              <w:t xml:space="preserve">Ipotizzando progetti a scala industriale e/o nel contesto di reti di teleriscaldamento sono necessari lo Screening sulla Mitigazione e lo Screening sull’Adattamento </w:t>
            </w:r>
          </w:p>
        </w:tc>
      </w:tr>
    </w:tbl>
    <w:p>
      <w:pPr>
        <w:pStyle w:val="LOnormal1"/>
        <w:widowControl/>
        <w:spacing w:lineRule="auto" w:line="240" w:before="0" w:after="0"/>
        <w:jc w:val="both"/>
        <w:rPr>
          <w:b/>
          <w:b/>
          <w:shd w:fill="auto" w:val="clear"/>
        </w:rPr>
      </w:pPr>
      <w:r>
        <w:rPr>
          <w:b/>
          <w:shd w:fill="auto" w:val="clear"/>
        </w:rPr>
      </w:r>
    </w:p>
    <w:p>
      <w:pPr>
        <w:pStyle w:val="LOnormal"/>
        <w:widowControl/>
        <w:spacing w:lineRule="auto" w:line="240" w:before="0" w:after="120"/>
        <w:ind w:hanging="0"/>
        <w:jc w:val="both"/>
        <w:rPr>
          <w:shd w:fill="auto" w:val="clear"/>
        </w:rPr>
      </w:pPr>
      <w:r>
        <w:rPr>
          <w:rFonts w:ascii="Liberation Serif" w:hAnsi="Liberation Serif"/>
          <w:b w:val="false"/>
          <w:bCs w:val="false"/>
          <w:sz w:val="24"/>
          <w:szCs w:val="24"/>
          <w:shd w:fill="auto" w:val="clear"/>
        </w:rPr>
        <w:t>Per gli interventi</w:t>
      </w:r>
      <w:r>
        <w:rPr>
          <w:rFonts w:eastAsia="Calibri" w:cs="Calibri" w:ascii="Liberation Serif" w:hAnsi="Liberation Serif"/>
          <w:b w:val="false"/>
          <w:bCs w:val="false"/>
          <w:color w:val="000000"/>
          <w:kern w:val="0"/>
          <w:sz w:val="24"/>
          <w:szCs w:val="24"/>
          <w:shd w:fill="auto" w:val="clear"/>
          <w:lang w:val="it-IT" w:eastAsia="zh-CN" w:bidi="hi-IN"/>
        </w:rPr>
        <w:t xml:space="preserve"> </w:t>
      </w:r>
      <w:r>
        <w:rPr>
          <w:rFonts w:ascii="Liberation Serif" w:hAnsi="Liberation Serif"/>
          <w:b w:val="false"/>
          <w:bCs w:val="false"/>
          <w:sz w:val="24"/>
          <w:szCs w:val="24"/>
          <w:shd w:fill="auto" w:val="clear"/>
        </w:rPr>
        <w:t xml:space="preserve">di razionalizzazione dei cicli produttivi e utilizzo efficiente dell’energia (Reg. 651/2014 art. 38) e </w:t>
      </w:r>
      <w:r>
        <w:rPr>
          <w:rFonts w:eastAsia="Calibri" w:cs="Calibri" w:ascii="Liberation Serif" w:hAnsi="Liberation Serif"/>
          <w:b w:val="false"/>
          <w:bCs w:val="false"/>
          <w:color w:val="000000"/>
          <w:kern w:val="0"/>
          <w:sz w:val="24"/>
          <w:szCs w:val="24"/>
          <w:shd w:fill="auto" w:val="clear"/>
          <w:lang w:val="it-IT" w:eastAsia="zh-CN" w:bidi="hi-IN"/>
        </w:rPr>
        <w:t>di</w:t>
      </w:r>
      <w:r>
        <w:rPr>
          <w:rFonts w:ascii="Liberation Serif" w:hAnsi="Liberation Serif"/>
          <w:b w:val="false"/>
          <w:bCs w:val="false"/>
          <w:sz w:val="24"/>
          <w:szCs w:val="24"/>
          <w:shd w:fill="auto" w:val="clear"/>
        </w:rPr>
        <w:t xml:space="preserve"> sviluppo di processi innovativi volti al risparmio energetico, compresa l’eventuale ingegnerizzazione di nuove linee di produzione efficienti (Reg. 651/2014 art. 38), lo Screening sulla Mitigazione </w:t>
      </w:r>
      <w:r>
        <w:rPr>
          <w:rFonts w:eastAsia="Calibri" w:cs="Calibri" w:ascii="Liberation Serif" w:hAnsi="Liberation Serif"/>
          <w:b w:val="false"/>
          <w:bCs w:val="false"/>
          <w:color w:val="000000"/>
          <w:kern w:val="0"/>
          <w:sz w:val="24"/>
          <w:szCs w:val="24"/>
          <w:shd w:fill="auto" w:val="clear"/>
          <w:lang w:val="it-IT" w:eastAsia="zh-CN" w:bidi="hi-IN"/>
        </w:rPr>
        <w:t>può essere effettuato mediante una valutazione preliminare del livello atteso di emissioni dei progetti può essere effettuata sulla base di un’analisi quantitativa specifica, oppure con un’analisi comparativa, assumendo a riferimento progetti analoghi sviluppati in passato e altre informazioni di fonte pubblica.</w:t>
      </w:r>
      <w:r>
        <w:rPr>
          <w:b/>
          <w:shd w:fill="auto" w:val="clear"/>
        </w:rPr>
        <w:t xml:space="preserve"> </w:t>
      </w:r>
      <w:r>
        <w:rPr>
          <w:rFonts w:eastAsia="Calibri" w:cs="Calibri" w:ascii="Liberation Serif" w:hAnsi="Liberation Serif"/>
          <w:b w:val="false"/>
          <w:bCs w:val="false"/>
          <w:color w:val="000000"/>
          <w:kern w:val="0"/>
          <w:sz w:val="24"/>
          <w:szCs w:val="24"/>
          <w:shd w:fill="auto" w:val="clear"/>
          <w:lang w:val="it-IT" w:eastAsia="zh-CN" w:bidi="hi-IN"/>
        </w:rPr>
        <w:t xml:space="preserve">Solo per quei progetti per cui ci si attende che i livelli di emissioni assolute e/o relative siano superiori a 20.000 tonnellate di CO2equivalenti/anno (positive o negative), la verifica della neutralità climatica richiede di svolgere l’analisi dettagliata. </w:t>
      </w:r>
    </w:p>
    <w:p>
      <w:pPr>
        <w:pStyle w:val="LOnormal"/>
        <w:widowControl/>
        <w:spacing w:lineRule="auto" w:line="240" w:before="0" w:after="120"/>
        <w:ind w:hanging="0"/>
        <w:jc w:val="both"/>
        <w:rPr>
          <w:shd w:fill="auto" w:val="clear"/>
        </w:rPr>
      </w:pPr>
      <w:r>
        <w:rPr>
          <w:rFonts w:eastAsia="Calibri" w:cs="Calibri" w:ascii="Liberation Serif" w:hAnsi="Liberation Serif"/>
          <w:b w:val="false"/>
          <w:bCs w:val="false"/>
          <w:color w:val="000000"/>
          <w:kern w:val="0"/>
          <w:sz w:val="24"/>
          <w:szCs w:val="24"/>
          <w:shd w:fill="auto" w:val="clear"/>
          <w:lang w:val="it-IT" w:eastAsia="zh-CN" w:bidi="hi-IN"/>
        </w:rPr>
        <w:t>Nel caso degli interventi relativi all’installazione di sistemi di building automation connessi agli interventi di efficientamento (Reg. 651/2014 art. 38, 38-bis, 41)  si ritiene che possano essere considerati “attrezzature” e dunque non è necessario effettuare uno screening sulla Mitigazione e sull’Adattamento.</w:t>
      </w:r>
    </w:p>
    <w:p>
      <w:pPr>
        <w:pStyle w:val="LOnormal1"/>
        <w:widowControl/>
        <w:spacing w:lineRule="auto" w:line="240" w:before="0" w:after="0"/>
        <w:jc w:val="both"/>
        <w:rPr>
          <w:b/>
          <w:b/>
          <w:shd w:fill="auto" w:val="clear"/>
        </w:rPr>
      </w:pPr>
      <w:r>
        <w:rPr>
          <w:b/>
          <w:shd w:fill="auto" w:val="clear"/>
        </w:rPr>
      </w:r>
    </w:p>
    <w:p>
      <w:pPr>
        <w:pStyle w:val="LOnormal1"/>
        <w:widowControl/>
        <w:spacing w:lineRule="auto" w:line="240" w:before="0" w:after="0"/>
        <w:jc w:val="both"/>
        <w:rPr>
          <w:shd w:fill="auto" w:val="clear"/>
        </w:rPr>
      </w:pPr>
      <w:r>
        <w:rPr>
          <w:b/>
          <w:shd w:fill="auto" w:val="clear"/>
        </w:rPr>
        <w:t>1.5 Verifica di neutralità climatica (mitigazione) -  “Fase - Screening”</w:t>
      </w:r>
    </w:p>
    <w:p>
      <w:pPr>
        <w:pStyle w:val="LOnormal1"/>
        <w:keepNext w:val="false"/>
        <w:keepLines w:val="false"/>
        <w:pageBreakBefore w:val="false"/>
        <w:widowControl/>
        <w:shd w:val="clear" w:fill="auto"/>
        <w:spacing w:lineRule="auto" w:line="240" w:before="0" w:after="0"/>
        <w:ind w:left="0" w:right="0" w:hanging="0"/>
        <w:jc w:val="both"/>
        <w:rPr>
          <w:shd w:fill="auto" w:val="clear"/>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Se l'intervento non è qualificabile come una ristrutturazione importante ai sensi del Decreto Ministeriale</w:t>
      </w:r>
      <w:bookmarkStart w:id="10" w:name="lnxbz9"/>
      <w:bookmarkStart w:id="11" w:name="3rdcrjn"/>
      <w:bookmarkStart w:id="12" w:name="17dp8vu"/>
      <w:bookmarkStart w:id="13" w:name="26in1rg"/>
      <w:bookmarkEnd w:id="10"/>
      <w:bookmarkEnd w:id="11"/>
      <w:bookmarkEnd w:id="12"/>
      <w:bookmarkEnd w:id="13"/>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26 giugno 2015 non va compilata la scheda.  Se si qualifica come ristrutturazione importante deve essere selezionata, nel campo a scelta multipla “categorie progetto”, la dicitura "Progetti immobiliari”.</w:t>
      </w:r>
    </w:p>
    <w:p>
      <w:pPr>
        <w:pStyle w:val="LOnormal1"/>
        <w:keepNext w:val="false"/>
        <w:keepLines w:val="false"/>
        <w:pageBreakBefore w:val="false"/>
        <w:widowControl/>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jc w:val="both"/>
        <w:rPr>
          <w:b/>
          <w:b/>
        </w:rPr>
      </w:pPr>
      <w:r>
        <w:rPr>
          <w:b w:val="false"/>
          <w:color w:val="000000"/>
        </w:rPr>
        <w:t xml:space="preserve">    </w:t>
      </w:r>
      <w:r>
        <w:rPr>
          <w:b w:val="false"/>
        </w:rPr>
        <w:t xml:space="preserve">      </w:t>
      </w:r>
      <w:r>
        <w:rPr>
          <w:b/>
        </w:rPr>
        <w:t xml:space="preserve">             </w:t>
      </w:r>
    </w:p>
    <w:sectPr>
      <w:type w:val="nextPage"/>
      <w:pgSz w:w="11906" w:h="16838"/>
      <w:pgMar w:left="1134" w:right="1134"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1144"/>
        </w:tabs>
        <w:ind w:left="1144" w:hanging="360"/>
      </w:pPr>
      <w:rPr>
        <w:rFonts w:ascii="Symbol" w:hAnsi="Symbol" w:cs="Symbol" w:hint="default"/>
      </w:rPr>
    </w:lvl>
    <w:lvl w:ilvl="1">
      <w:start w:val="1"/>
      <w:numFmt w:val="bullet"/>
      <w:lvlText w:val="◦"/>
      <w:lvlJc w:val="left"/>
      <w:pPr>
        <w:tabs>
          <w:tab w:val="num" w:pos="1504"/>
        </w:tabs>
        <w:ind w:left="1504" w:hanging="360"/>
      </w:pPr>
      <w:rPr>
        <w:rFonts w:ascii="OpenSymbol" w:hAnsi="OpenSymbol" w:cs="OpenSymbol" w:hint="default"/>
      </w:rPr>
    </w:lvl>
    <w:lvl w:ilvl="2">
      <w:start w:val="1"/>
      <w:numFmt w:val="bullet"/>
      <w:lvlText w:val="▪"/>
      <w:lvlJc w:val="left"/>
      <w:pPr>
        <w:tabs>
          <w:tab w:val="num" w:pos="1864"/>
        </w:tabs>
        <w:ind w:left="1864" w:hanging="360"/>
      </w:pPr>
      <w:rPr>
        <w:rFonts w:ascii="OpenSymbol" w:hAnsi="OpenSymbol" w:cs="OpenSymbol" w:hint="default"/>
      </w:rPr>
    </w:lvl>
    <w:lvl w:ilvl="3">
      <w:start w:val="1"/>
      <w:numFmt w:val="bullet"/>
      <w:lvlText w:val=""/>
      <w:lvlJc w:val="left"/>
      <w:pPr>
        <w:tabs>
          <w:tab w:val="num" w:pos="2224"/>
        </w:tabs>
        <w:ind w:left="2224" w:hanging="360"/>
      </w:pPr>
      <w:rPr>
        <w:rFonts w:ascii="Symbol" w:hAnsi="Symbol" w:cs="Symbol" w:hint="default"/>
      </w:rPr>
    </w:lvl>
    <w:lvl w:ilvl="4">
      <w:start w:val="1"/>
      <w:numFmt w:val="bullet"/>
      <w:lvlText w:val="◦"/>
      <w:lvlJc w:val="left"/>
      <w:pPr>
        <w:tabs>
          <w:tab w:val="num" w:pos="2584"/>
        </w:tabs>
        <w:ind w:left="2584" w:hanging="360"/>
      </w:pPr>
      <w:rPr>
        <w:rFonts w:ascii="OpenSymbol" w:hAnsi="OpenSymbol" w:cs="OpenSymbol" w:hint="default"/>
      </w:rPr>
    </w:lvl>
    <w:lvl w:ilvl="5">
      <w:start w:val="1"/>
      <w:numFmt w:val="bullet"/>
      <w:lvlText w:val="▪"/>
      <w:lvlJc w:val="left"/>
      <w:pPr>
        <w:tabs>
          <w:tab w:val="num" w:pos="2944"/>
        </w:tabs>
        <w:ind w:left="2944" w:hanging="360"/>
      </w:pPr>
      <w:rPr>
        <w:rFonts w:ascii="OpenSymbol" w:hAnsi="OpenSymbol" w:cs="OpenSymbol" w:hint="default"/>
      </w:rPr>
    </w:lvl>
    <w:lvl w:ilvl="6">
      <w:start w:val="1"/>
      <w:numFmt w:val="bullet"/>
      <w:lvlText w:val=""/>
      <w:lvlJc w:val="left"/>
      <w:pPr>
        <w:tabs>
          <w:tab w:val="num" w:pos="3304"/>
        </w:tabs>
        <w:ind w:left="3304" w:hanging="360"/>
      </w:pPr>
      <w:rPr>
        <w:rFonts w:ascii="Symbol" w:hAnsi="Symbol" w:cs="Symbol" w:hint="default"/>
      </w:rPr>
    </w:lvl>
    <w:lvl w:ilvl="7">
      <w:start w:val="1"/>
      <w:numFmt w:val="bullet"/>
      <w:lvlText w:val="◦"/>
      <w:lvlJc w:val="left"/>
      <w:pPr>
        <w:tabs>
          <w:tab w:val="num" w:pos="3664"/>
        </w:tabs>
        <w:ind w:left="3664" w:hanging="360"/>
      </w:pPr>
      <w:rPr>
        <w:rFonts w:ascii="OpenSymbol" w:hAnsi="OpenSymbol" w:cs="OpenSymbol" w:hint="default"/>
      </w:rPr>
    </w:lvl>
    <w:lvl w:ilvl="8">
      <w:start w:val="1"/>
      <w:numFmt w:val="bullet"/>
      <w:lvlText w:val="▪"/>
      <w:lvlJc w:val="left"/>
      <w:pPr>
        <w:tabs>
          <w:tab w:val="num" w:pos="4024"/>
        </w:tabs>
        <w:ind w:left="4024" w:hanging="360"/>
      </w:pPr>
      <w:rPr>
        <w:rFonts w:ascii="OpenSymbol" w:hAnsi="OpenSymbol" w:cs="OpenSymbol" w:hint="default"/>
      </w:rPr>
    </w:lvl>
  </w:abstractNum>
  <w:abstractNum w:abstractNumId="3">
    <w:lvl w:ilvl="0">
      <w:start w:val="1"/>
      <w:numFmt w:val="bullet"/>
      <w:lvlText w:val=""/>
      <w:lvlJc w:val="left"/>
      <w:pPr>
        <w:tabs>
          <w:tab w:val="num" w:pos="1144"/>
        </w:tabs>
        <w:ind w:left="1144" w:hanging="360"/>
      </w:pPr>
      <w:rPr>
        <w:rFonts w:ascii="Symbol" w:hAnsi="Symbol" w:cs="Symbol" w:hint="default"/>
      </w:rPr>
    </w:lvl>
    <w:lvl w:ilvl="1">
      <w:start w:val="1"/>
      <w:numFmt w:val="bullet"/>
      <w:lvlText w:val="◦"/>
      <w:lvlJc w:val="left"/>
      <w:pPr>
        <w:tabs>
          <w:tab w:val="num" w:pos="1504"/>
        </w:tabs>
        <w:ind w:left="1504" w:hanging="360"/>
      </w:pPr>
      <w:rPr>
        <w:rFonts w:ascii="OpenSymbol" w:hAnsi="OpenSymbol" w:cs="OpenSymbol" w:hint="default"/>
      </w:rPr>
    </w:lvl>
    <w:lvl w:ilvl="2">
      <w:start w:val="1"/>
      <w:numFmt w:val="bullet"/>
      <w:lvlText w:val="▪"/>
      <w:lvlJc w:val="left"/>
      <w:pPr>
        <w:tabs>
          <w:tab w:val="num" w:pos="1864"/>
        </w:tabs>
        <w:ind w:left="1864" w:hanging="360"/>
      </w:pPr>
      <w:rPr>
        <w:rFonts w:ascii="OpenSymbol" w:hAnsi="OpenSymbol" w:cs="OpenSymbol" w:hint="default"/>
      </w:rPr>
    </w:lvl>
    <w:lvl w:ilvl="3">
      <w:start w:val="1"/>
      <w:numFmt w:val="bullet"/>
      <w:lvlText w:val=""/>
      <w:lvlJc w:val="left"/>
      <w:pPr>
        <w:tabs>
          <w:tab w:val="num" w:pos="2224"/>
        </w:tabs>
        <w:ind w:left="2224" w:hanging="360"/>
      </w:pPr>
      <w:rPr>
        <w:rFonts w:ascii="Symbol" w:hAnsi="Symbol" w:cs="Symbol" w:hint="default"/>
      </w:rPr>
    </w:lvl>
    <w:lvl w:ilvl="4">
      <w:start w:val="1"/>
      <w:numFmt w:val="bullet"/>
      <w:lvlText w:val="◦"/>
      <w:lvlJc w:val="left"/>
      <w:pPr>
        <w:tabs>
          <w:tab w:val="num" w:pos="2584"/>
        </w:tabs>
        <w:ind w:left="2584" w:hanging="360"/>
      </w:pPr>
      <w:rPr>
        <w:rFonts w:ascii="OpenSymbol" w:hAnsi="OpenSymbol" w:cs="OpenSymbol" w:hint="default"/>
      </w:rPr>
    </w:lvl>
    <w:lvl w:ilvl="5">
      <w:start w:val="1"/>
      <w:numFmt w:val="bullet"/>
      <w:lvlText w:val="▪"/>
      <w:lvlJc w:val="left"/>
      <w:pPr>
        <w:tabs>
          <w:tab w:val="num" w:pos="2944"/>
        </w:tabs>
        <w:ind w:left="2944" w:hanging="360"/>
      </w:pPr>
      <w:rPr>
        <w:rFonts w:ascii="OpenSymbol" w:hAnsi="OpenSymbol" w:cs="OpenSymbol" w:hint="default"/>
      </w:rPr>
    </w:lvl>
    <w:lvl w:ilvl="6">
      <w:start w:val="1"/>
      <w:numFmt w:val="bullet"/>
      <w:lvlText w:val=""/>
      <w:lvlJc w:val="left"/>
      <w:pPr>
        <w:tabs>
          <w:tab w:val="num" w:pos="3304"/>
        </w:tabs>
        <w:ind w:left="3304" w:hanging="360"/>
      </w:pPr>
      <w:rPr>
        <w:rFonts w:ascii="Symbol" w:hAnsi="Symbol" w:cs="Symbol" w:hint="default"/>
      </w:rPr>
    </w:lvl>
    <w:lvl w:ilvl="7">
      <w:start w:val="1"/>
      <w:numFmt w:val="bullet"/>
      <w:lvlText w:val="◦"/>
      <w:lvlJc w:val="left"/>
      <w:pPr>
        <w:tabs>
          <w:tab w:val="num" w:pos="3664"/>
        </w:tabs>
        <w:ind w:left="3664" w:hanging="360"/>
      </w:pPr>
      <w:rPr>
        <w:rFonts w:ascii="OpenSymbol" w:hAnsi="OpenSymbol" w:cs="OpenSymbol" w:hint="default"/>
      </w:rPr>
    </w:lvl>
    <w:lvl w:ilvl="8">
      <w:start w:val="1"/>
      <w:numFmt w:val="bullet"/>
      <w:lvlText w:val="▪"/>
      <w:lvlJc w:val="left"/>
      <w:pPr>
        <w:tabs>
          <w:tab w:val="num" w:pos="4024"/>
        </w:tabs>
        <w:ind w:left="4024"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Titolo1">
    <w:name w:val="Heading 1"/>
    <w:basedOn w:val="LOnormal1"/>
    <w:next w:val="LOnormal1"/>
    <w:qFormat/>
    <w:pPr>
      <w:keepNext w:val="true"/>
      <w:keepLines/>
      <w:pageBreakBefore w:val="false"/>
      <w:spacing w:lineRule="auto" w:line="240" w:before="480" w:after="120"/>
    </w:pPr>
    <w:rPr>
      <w:b/>
      <w:sz w:val="48"/>
      <w:szCs w:val="48"/>
    </w:rPr>
  </w:style>
  <w:style w:type="paragraph" w:styleId="Titolo2">
    <w:name w:val="Heading 2"/>
    <w:basedOn w:val="LOnormal1"/>
    <w:next w:val="LOnormal1"/>
    <w:qFormat/>
    <w:pPr>
      <w:keepNext w:val="true"/>
      <w:keepLines/>
      <w:pageBreakBefore w:val="false"/>
      <w:spacing w:lineRule="auto" w:line="240" w:before="360" w:after="80"/>
    </w:pPr>
    <w:rPr>
      <w:b/>
      <w:sz w:val="36"/>
      <w:szCs w:val="36"/>
    </w:rPr>
  </w:style>
  <w:style w:type="paragraph" w:styleId="Titolo3">
    <w:name w:val="Heading 3"/>
    <w:basedOn w:val="LOnormal1"/>
    <w:next w:val="LOnormal1"/>
    <w:qFormat/>
    <w:pPr>
      <w:keepNext w:val="true"/>
      <w:keepLines/>
      <w:pageBreakBefore w:val="false"/>
      <w:spacing w:lineRule="auto" w:line="240" w:before="280" w:after="80"/>
    </w:pPr>
    <w:rPr>
      <w:b/>
      <w:sz w:val="28"/>
      <w:szCs w:val="28"/>
    </w:rPr>
  </w:style>
  <w:style w:type="paragraph" w:styleId="Titolo4">
    <w:name w:val="Heading 4"/>
    <w:basedOn w:val="LOnormal1"/>
    <w:next w:val="LOnormal1"/>
    <w:qFormat/>
    <w:pPr>
      <w:keepNext w:val="true"/>
      <w:keepLines/>
      <w:pageBreakBefore w:val="false"/>
      <w:spacing w:lineRule="auto" w:line="240" w:before="240" w:after="40"/>
    </w:pPr>
    <w:rPr>
      <w:b/>
      <w:sz w:val="24"/>
      <w:szCs w:val="24"/>
    </w:rPr>
  </w:style>
  <w:style w:type="paragraph" w:styleId="Titolo5">
    <w:name w:val="Heading 5"/>
    <w:basedOn w:val="LOnormal1"/>
    <w:next w:val="LOnormal1"/>
    <w:qFormat/>
    <w:pPr>
      <w:keepNext w:val="true"/>
      <w:keepLines/>
      <w:pageBreakBefore w:val="false"/>
      <w:spacing w:lineRule="auto" w:line="240" w:before="220" w:after="40"/>
    </w:pPr>
    <w:rPr>
      <w:b/>
      <w:sz w:val="22"/>
      <w:szCs w:val="22"/>
    </w:rPr>
  </w:style>
  <w:style w:type="paragraph" w:styleId="Titolo6">
    <w:name w:val="Heading 6"/>
    <w:basedOn w:val="LOnormal1"/>
    <w:next w:val="LOnormal1"/>
    <w:qFormat/>
    <w:pPr>
      <w:keepNext w:val="true"/>
      <w:keepLines/>
      <w:pageBreakBefore w:val="false"/>
      <w:spacing w:lineRule="auto" w:line="240" w:before="200" w:after="40"/>
    </w:pPr>
    <w:rPr>
      <w:b/>
      <w:sz w:val="20"/>
      <w:szCs w:val="20"/>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Onormal1" w:default="1">
    <w:name w:val="LO-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Titoloprincipale">
    <w:name w:val="Title"/>
    <w:basedOn w:val="LOnormal1"/>
    <w:next w:val="LOnormal1"/>
    <w:qFormat/>
    <w:pPr>
      <w:keepNext w:val="true"/>
      <w:keepLines/>
      <w:pageBreakBefore w:val="false"/>
      <w:spacing w:lineRule="auto" w:line="240" w:before="480" w:after="120"/>
    </w:pPr>
    <w:rPr>
      <w:b/>
      <w:sz w:val="72"/>
      <w:szCs w:val="72"/>
    </w:rPr>
  </w:style>
  <w:style w:type="paragraph" w:styleId="Sottotitolo">
    <w:name w:val="Subtitle"/>
    <w:basedOn w:val="LOnormal1"/>
    <w:next w:val="LO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LOnormal">
    <w:name w:val="LO-normal"/>
    <w:qFormat/>
    <w:pPr>
      <w:widowControl/>
      <w:suppressAutoHyphens w:val="true"/>
      <w:bidi w:val="0"/>
      <w:spacing w:lineRule="auto" w:line="240" w:before="0" w:after="120"/>
      <w:jc w:val="both"/>
    </w:pPr>
    <w:rPr>
      <w:rFonts w:ascii="Calibri" w:hAnsi="Calibri" w:eastAsia="Calibri" w:cs="Calibri"/>
      <w:color w:val="auto"/>
      <w:kern w:val="0"/>
      <w:sz w:val="22"/>
      <w:szCs w:val="22"/>
      <w:lang w:val="it-IT" w:eastAsia="zh-CN" w:bidi="hi-IN"/>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20</TotalTime>
  <Application>LibreOffice/7.0.4.2$Windows_X86_64 LibreOffice_project/dcf040e67528d9187c66b2379df5ea4407429775</Application>
  <AppVersion>15.0000</AppVersion>
  <Pages>3</Pages>
  <Words>1219</Words>
  <Characters>7907</Characters>
  <CharactersWithSpaces>9267</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2024-05-03T11:12:20Z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