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Via/Piazza  ___________________________________________________________________,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5D5E03A3" w14:textId="58D71CD4" w:rsidR="00C156B5" w:rsidRPr="00051A33" w:rsidRDefault="00051A33" w:rsidP="00051A33">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lang w:val="it-IT"/>
        </w:rPr>
      </w:pPr>
      <w:r>
        <w:rPr>
          <w:rFonts w:asciiTheme="minorHAnsi" w:hAnsiTheme="minorHAnsi" w:cstheme="minorHAnsi"/>
          <w:b/>
          <w:lang w:val="it-IT"/>
        </w:rPr>
        <w:t xml:space="preserve">Selezione di un componente effettivo del Comitato di Valutazione </w:t>
      </w:r>
      <w:r w:rsidRPr="00051A33">
        <w:rPr>
          <w:rFonts w:asciiTheme="minorHAnsi" w:hAnsiTheme="minorHAnsi" w:cstheme="minorHAnsi"/>
          <w:b/>
          <w:lang w:val="it-IT"/>
        </w:rPr>
        <w:t>delle domande di contributo presentate sulla Linea a) Digitalizzazione nelle imprese del Bando “Digitalizzazione ed efficientamento produttivo nelle imprese”</w:t>
      </w:r>
    </w:p>
    <w:p w14:paraId="7ABE67CB" w14:textId="17374DAB" w:rsidR="00C156B5" w:rsidRPr="001A5408" w:rsidRDefault="00051A33" w:rsidP="00C156B5">
      <w:pPr>
        <w:pBdr>
          <w:top w:val="single" w:sz="4" w:space="1" w:color="auto"/>
          <w:left w:val="single" w:sz="4" w:space="4" w:color="auto"/>
          <w:bottom w:val="single" w:sz="4" w:space="0" w:color="auto"/>
          <w:right w:val="single" w:sz="4" w:space="4" w:color="auto"/>
        </w:pBdr>
        <w:tabs>
          <w:tab w:val="left" w:pos="360"/>
        </w:tabs>
        <w:spacing w:after="120" w:line="240" w:lineRule="auto"/>
        <w:jc w:val="both"/>
        <w:rPr>
          <w:rFonts w:asciiTheme="minorHAnsi" w:hAnsiTheme="minorHAnsi" w:cstheme="minorHAnsi"/>
          <w:bCs/>
          <w:iCs/>
          <w:spacing w:val="30"/>
          <w:lang w:val="it-IT" w:eastAsia="it-IT"/>
        </w:rPr>
      </w:pPr>
      <w:r>
        <w:rPr>
          <w:rFonts w:asciiTheme="minorHAnsi" w:hAnsiTheme="minorHAnsi" w:cstheme="minorHAnsi"/>
          <w:b/>
          <w:bCs/>
          <w:iCs/>
          <w:spacing w:val="30"/>
          <w:lang w:val="it-IT" w:eastAsia="it-IT"/>
        </w:rPr>
        <w:t xml:space="preserve"> </w:t>
      </w:r>
      <w:bookmarkStart w:id="0" w:name="_GoBack"/>
      <w:bookmarkEnd w:id="0"/>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lastRenderedPageBreak/>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self-cleaning,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r w:rsidRPr="001A5408">
        <w:rPr>
          <w:rFonts w:asciiTheme="minorHAnsi" w:hAnsiTheme="minorHAnsi" w:cstheme="minorHAnsi"/>
          <w:i/>
          <w:lang w:val="it-IT"/>
        </w:rPr>
        <w:t>maladministration</w:t>
      </w:r>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Resta fermo che dell’intervenuta risoluzione del contratto, Finpiemonte potrà tenere conto ai fini delle valutazioni di cui all’art. 80, comma 5, lett.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raggruppate/raggruppande,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consorziate/consorziande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44A2-E23A-4194-9580-16AB2453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8340</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2023-05-19T13:15:00Z</dcterms:created>
  <dcterms:modified xsi:type="dcterms:W3CDTF">2023-07-20T10:58:00Z</dcterms:modified>
</cp:coreProperties>
</file>